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F5B" w:rsidRDefault="00FF771A">
      <w:pPr>
        <w:rPr>
          <w:rFonts w:asciiTheme="minorHAnsi" w:hAnsiTheme="minorHAnsi"/>
          <w:noProof/>
          <w:sz w:val="22"/>
          <w:szCs w:val="22"/>
        </w:rPr>
      </w:pPr>
      <w:r w:rsidRPr="004F2F5B">
        <w:rPr>
          <w:rFonts w:asciiTheme="minorHAnsi" w:hAnsiTheme="minorHAnsi"/>
          <w:noProof/>
          <w:sz w:val="22"/>
          <w:szCs w:val="22"/>
        </w:rPr>
        <mc:AlternateContent>
          <mc:Choice Requires="wps">
            <w:drawing>
              <wp:anchor distT="45720" distB="45720" distL="114300" distR="114300" simplePos="0" relativeHeight="251656192" behindDoc="0" locked="0" layoutInCell="1" allowOverlap="1" wp14:anchorId="39ED1320" wp14:editId="570386EB">
                <wp:simplePos x="0" y="0"/>
                <wp:positionH relativeFrom="margin">
                  <wp:align>left</wp:align>
                </wp:positionH>
                <wp:positionV relativeFrom="paragraph">
                  <wp:posOffset>1324923</wp:posOffset>
                </wp:positionV>
                <wp:extent cx="6096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noFill/>
                          <a:miter lim="800000"/>
                          <a:headEnd/>
                          <a:tailEnd/>
                        </a:ln>
                      </wps:spPr>
                      <wps:txbx>
                        <w:txbxContent>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2015 Report to the</w:t>
                            </w:r>
                          </w:p>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 xml:space="preserve"> Hawaiʿi Invasive Species Council</w:t>
                            </w:r>
                          </w:p>
                          <w:p w:rsidR="00FF771A" w:rsidRDefault="00FF771A" w:rsidP="004F2F5B">
                            <w:pPr>
                              <w:jc w:val="center"/>
                              <w:rPr>
                                <w:rFonts w:asciiTheme="minorHAnsi" w:hAnsiTheme="minorHAnsi"/>
                                <w:b/>
                                <w:sz w:val="44"/>
                                <w:szCs w:val="44"/>
                              </w:rPr>
                            </w:pPr>
                          </w:p>
                          <w:p w:rsidR="00FF771A" w:rsidRDefault="00FF771A" w:rsidP="004F2F5B">
                            <w:pPr>
                              <w:jc w:val="center"/>
                              <w:rPr>
                                <w:rFonts w:asciiTheme="minorHAnsi" w:hAnsiTheme="minorHAnsi"/>
                                <w:b/>
                                <w:i/>
                                <w:sz w:val="36"/>
                                <w:szCs w:val="36"/>
                              </w:rPr>
                            </w:pPr>
                            <w:r>
                              <w:rPr>
                                <w:rFonts w:asciiTheme="minorHAnsi" w:hAnsiTheme="minorHAnsi"/>
                                <w:b/>
                                <w:sz w:val="36"/>
                                <w:szCs w:val="36"/>
                              </w:rPr>
                              <w:t xml:space="preserve">Detection and control of </w:t>
                            </w:r>
                            <w:r>
                              <w:rPr>
                                <w:rFonts w:asciiTheme="minorHAnsi" w:hAnsiTheme="minorHAnsi"/>
                                <w:b/>
                                <w:i/>
                                <w:sz w:val="36"/>
                                <w:szCs w:val="36"/>
                              </w:rPr>
                              <w:t xml:space="preserve">Tibouchina herbacea </w:t>
                            </w:r>
                          </w:p>
                          <w:p w:rsidR="00FF771A" w:rsidRPr="00FF771A" w:rsidRDefault="00FF771A" w:rsidP="004F2F5B">
                            <w:pPr>
                              <w:jc w:val="center"/>
                              <w:rPr>
                                <w:rFonts w:asciiTheme="minorHAnsi" w:hAnsiTheme="minorHAnsi"/>
                                <w:b/>
                                <w:sz w:val="36"/>
                                <w:szCs w:val="36"/>
                              </w:rPr>
                            </w:pPr>
                            <w:r>
                              <w:rPr>
                                <w:rFonts w:asciiTheme="minorHAnsi" w:hAnsiTheme="minorHAnsi"/>
                                <w:b/>
                                <w:sz w:val="36"/>
                                <w:szCs w:val="36"/>
                              </w:rPr>
                              <w:t>in Poamoho Natural Area Reserve</w:t>
                            </w:r>
                          </w:p>
                          <w:p w:rsidR="004F2F5B" w:rsidRPr="004F2F5B" w:rsidRDefault="004F2F5B">
                            <w:pPr>
                              <w:rPr>
                                <w:rFonts w:asciiTheme="minorHAnsi" w:hAnsiTheme="minorHAnsi"/>
                                <w:b/>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D1320" id="_x0000_t202" coordsize="21600,21600" o:spt="202" path="m,l,21600r21600,l21600,xe">
                <v:stroke joinstyle="miter"/>
                <v:path gradientshapeok="t" o:connecttype="rect"/>
              </v:shapetype>
              <v:shape id="Text Box 2" o:spid="_x0000_s1026" type="#_x0000_t202" style="position:absolute;margin-left:0;margin-top:104.3pt;width:480pt;height:110.6pt;z-index:2516561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" stroked="f">
                <v:textbox style="mso-fit-shape-to-text:t">
                  <w:txbxContent>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2015 Report to the</w:t>
                      </w:r>
                    </w:p>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 xml:space="preserve"> Hawaiʿi Invasive Species Council</w:t>
                      </w:r>
                    </w:p>
                    <w:p w:rsidR="00FF771A" w:rsidRDefault="00FF771A" w:rsidP="004F2F5B">
                      <w:pPr>
                        <w:jc w:val="center"/>
                        <w:rPr>
                          <w:rFonts w:asciiTheme="minorHAnsi" w:hAnsiTheme="minorHAnsi"/>
                          <w:b/>
                          <w:sz w:val="44"/>
                          <w:szCs w:val="44"/>
                        </w:rPr>
                      </w:pPr>
                    </w:p>
                    <w:p w:rsidR="00FF771A" w:rsidRDefault="00FF771A" w:rsidP="004F2F5B">
                      <w:pPr>
                        <w:jc w:val="center"/>
                        <w:rPr>
                          <w:rFonts w:asciiTheme="minorHAnsi" w:hAnsiTheme="minorHAnsi"/>
                          <w:b/>
                          <w:i/>
                          <w:sz w:val="36"/>
                          <w:szCs w:val="36"/>
                        </w:rPr>
                      </w:pPr>
                      <w:r>
                        <w:rPr>
                          <w:rFonts w:asciiTheme="minorHAnsi" w:hAnsiTheme="minorHAnsi"/>
                          <w:b/>
                          <w:sz w:val="36"/>
                          <w:szCs w:val="36"/>
                        </w:rPr>
                        <w:t xml:space="preserve">Detection and control of </w:t>
                      </w:r>
                      <w:r>
                        <w:rPr>
                          <w:rFonts w:asciiTheme="minorHAnsi" w:hAnsiTheme="minorHAnsi"/>
                          <w:b/>
                          <w:i/>
                          <w:sz w:val="36"/>
                          <w:szCs w:val="36"/>
                        </w:rPr>
                        <w:t xml:space="preserve">Tibouchina herbacea </w:t>
                      </w:r>
                    </w:p>
                    <w:p w:rsidR="00FF771A" w:rsidRPr="00FF771A" w:rsidRDefault="00FF771A" w:rsidP="004F2F5B">
                      <w:pPr>
                        <w:jc w:val="center"/>
                        <w:rPr>
                          <w:rFonts w:asciiTheme="minorHAnsi" w:hAnsiTheme="minorHAnsi"/>
                          <w:b/>
                          <w:sz w:val="36"/>
                          <w:szCs w:val="36"/>
                        </w:rPr>
                      </w:pPr>
                      <w:r>
                        <w:rPr>
                          <w:rFonts w:asciiTheme="minorHAnsi" w:hAnsiTheme="minorHAnsi"/>
                          <w:b/>
                          <w:sz w:val="36"/>
                          <w:szCs w:val="36"/>
                        </w:rPr>
                        <w:t>in Poamoho Natural Area Reserve</w:t>
                      </w:r>
                    </w:p>
                    <w:p w:rsidR="004F2F5B" w:rsidRPr="004F2F5B" w:rsidRDefault="004F2F5B">
                      <w:pPr>
                        <w:rPr>
                          <w:rFonts w:asciiTheme="minorHAnsi" w:hAnsiTheme="minorHAnsi"/>
                          <w:b/>
                          <w:sz w:val="28"/>
                          <w:szCs w:val="28"/>
                        </w:rPr>
                      </w:pPr>
                    </w:p>
                  </w:txbxContent>
                </v:textbox>
                <w10:wrap type="square" anchorx="margin"/>
              </v:shape>
            </w:pict>
          </mc:Fallback>
        </mc:AlternateContent>
      </w:r>
      <w:r w:rsidR="004F2F5B">
        <w:rPr>
          <w:rFonts w:asciiTheme="minorHAnsi" w:hAnsiTheme="minorHAnsi"/>
          <w:noProof/>
          <w:sz w:val="22"/>
          <w:szCs w:val="22"/>
        </w:rPr>
        <w:drawing>
          <wp:anchor distT="0" distB="0" distL="114300" distR="114300" simplePos="0" relativeHeight="251653120" behindDoc="1" locked="0" layoutInCell="1" allowOverlap="1" wp14:anchorId="3D5BCC79" wp14:editId="05C01567">
            <wp:simplePos x="0" y="0"/>
            <wp:positionH relativeFrom="margin">
              <wp:posOffset>1156335</wp:posOffset>
            </wp:positionH>
            <wp:positionV relativeFrom="paragraph">
              <wp:posOffset>0</wp:posOffset>
            </wp:positionV>
            <wp:extent cx="3866515" cy="1257300"/>
            <wp:effectExtent l="0" t="0" r="635" b="0"/>
            <wp:wrapTight wrapText="bothSides">
              <wp:wrapPolygon edited="0">
                <wp:start x="0" y="0"/>
                <wp:lineTo x="0" y="21273"/>
                <wp:lineTo x="21497" y="21273"/>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SClogoGreen-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6515" cy="1257300"/>
                    </a:xfrm>
                    <a:prstGeom prst="rect">
                      <a:avLst/>
                    </a:prstGeom>
                  </pic:spPr>
                </pic:pic>
              </a:graphicData>
            </a:graphic>
            <wp14:sizeRelH relativeFrom="margin">
              <wp14:pctWidth>0</wp14:pctWidth>
            </wp14:sizeRelH>
            <wp14:sizeRelV relativeFrom="margin">
              <wp14:pctHeight>0</wp14:pctHeight>
            </wp14:sizeRelV>
          </wp:anchor>
        </w:drawing>
      </w:r>
    </w:p>
    <w:p w:rsidR="004F2F5B" w:rsidRDefault="00FF771A">
      <w:pPr>
        <w:spacing w:after="160" w:line="259" w:lineRule="auto"/>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05344" behindDoc="0" locked="0" layoutInCell="1" allowOverlap="1" wp14:anchorId="597A8694" wp14:editId="4C89BB4C">
            <wp:simplePos x="0" y="0"/>
            <wp:positionH relativeFrom="margin">
              <wp:align>left</wp:align>
            </wp:positionH>
            <wp:positionV relativeFrom="paragraph">
              <wp:posOffset>2907030</wp:posOffset>
            </wp:positionV>
            <wp:extent cx="6130290" cy="4597400"/>
            <wp:effectExtent l="38100" t="38100" r="80010" b="698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P44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0290" cy="4597400"/>
                    </a:xfrm>
                    <a:prstGeom prst="rect">
                      <a:avLst/>
                    </a:prstGeom>
                    <a:effectLst>
                      <a:outerShdw blurRad="101600" dist="38100" dir="2700000" algn="tl" rotWithShape="0">
                        <a:prstClr val="black">
                          <a:alpha val="40000"/>
                        </a:prstClr>
                      </a:outerShdw>
                      <a:softEdge rad="76200"/>
                    </a:effectLst>
                  </pic:spPr>
                </pic:pic>
              </a:graphicData>
            </a:graphic>
            <wp14:sizeRelH relativeFrom="margin">
              <wp14:pctWidth>0</wp14:pctWidth>
            </wp14:sizeRelH>
            <wp14:sizeRelV relativeFrom="margin">
              <wp14:pctHeight>0</wp14:pctHeight>
            </wp14:sizeRelV>
          </wp:anchor>
        </w:drawing>
      </w:r>
      <w:r w:rsidRPr="00026889">
        <w:rPr>
          <w:rFonts w:asciiTheme="minorHAnsi" w:hAnsiTheme="minorHAnsi"/>
          <w:noProof/>
          <w:sz w:val="22"/>
          <w:szCs w:val="22"/>
        </w:rPr>
        <mc:AlternateContent>
          <mc:Choice Requires="wps">
            <w:drawing>
              <wp:anchor distT="45720" distB="45720" distL="114300" distR="114300" simplePos="0" relativeHeight="251669504" behindDoc="0" locked="0" layoutInCell="1" allowOverlap="1" wp14:anchorId="2D409432" wp14:editId="21821A95">
                <wp:simplePos x="0" y="0"/>
                <wp:positionH relativeFrom="margin">
                  <wp:align>center</wp:align>
                </wp:positionH>
                <wp:positionV relativeFrom="paragraph">
                  <wp:posOffset>7522291</wp:posOffset>
                </wp:positionV>
                <wp:extent cx="6130344" cy="528034"/>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344" cy="528034"/>
                        </a:xfrm>
                        <a:prstGeom prst="rect">
                          <a:avLst/>
                        </a:prstGeom>
                        <a:solidFill>
                          <a:srgbClr val="FFFFFF"/>
                        </a:solidFill>
                        <a:ln w="9525">
                          <a:noFill/>
                          <a:miter lim="800000"/>
                          <a:headEnd/>
                          <a:tailEnd/>
                        </a:ln>
                      </wps:spPr>
                      <wps:txbx>
                        <w:txbxContent>
                          <w:p w:rsidR="00022211" w:rsidRPr="00DF654C" w:rsidRDefault="00FF771A" w:rsidP="00022211">
                            <w:pPr>
                              <w:jc w:val="center"/>
                              <w:rPr>
                                <w:rFonts w:asciiTheme="minorHAnsi" w:hAnsiTheme="minorHAnsi"/>
                                <w:sz w:val="28"/>
                                <w:szCs w:val="28"/>
                              </w:rPr>
                            </w:pPr>
                            <w:r>
                              <w:rPr>
                                <w:rFonts w:asciiTheme="minorHAnsi" w:hAnsiTheme="minorHAnsi"/>
                                <w:sz w:val="28"/>
                                <w:szCs w:val="28"/>
                              </w:rPr>
                              <w:t>Predominantly native forest in the Poamoho Natural Area Reserve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09432" id="_x0000_s1027" type="#_x0000_t202" style="position:absolute;margin-left:0;margin-top:592.3pt;width:482.7pt;height:41.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" stroked="f">
                <v:textbox>
                  <w:txbxContent>
                    <w:p w:rsidR="00022211" w:rsidRPr="00DF654C" w:rsidRDefault="00FF771A" w:rsidP="00022211">
                      <w:pPr>
                        <w:jc w:val="center"/>
                        <w:rPr>
                          <w:rFonts w:asciiTheme="minorHAnsi" w:hAnsiTheme="minorHAnsi"/>
                          <w:sz w:val="28"/>
                          <w:szCs w:val="28"/>
                        </w:rPr>
                      </w:pPr>
                      <w:r>
                        <w:rPr>
                          <w:rFonts w:asciiTheme="minorHAnsi" w:hAnsiTheme="minorHAnsi"/>
                          <w:sz w:val="28"/>
                          <w:szCs w:val="28"/>
                        </w:rPr>
                        <w:t>Predominantly native forest in the Poamoho Natural Area Reserve</w:t>
                      </w:r>
                    </w:p>
                  </w:txbxContent>
                </v:textbox>
                <w10:wrap type="square" anchorx="margin"/>
              </v:shape>
            </w:pict>
          </mc:Fallback>
        </mc:AlternateContent>
      </w:r>
      <w:r w:rsidR="004F2F5B">
        <w:rPr>
          <w:rFonts w:asciiTheme="minorHAnsi" w:hAnsiTheme="minorHAnsi"/>
          <w:noProof/>
          <w:sz w:val="22"/>
          <w:szCs w:val="22"/>
        </w:rPr>
        <w:br w:type="page"/>
      </w:r>
    </w:p>
    <w:p w:rsidR="00026889" w:rsidRDefault="00026889">
      <w:pPr>
        <w:rPr>
          <w:rFonts w:asciiTheme="minorHAnsi" w:hAnsiTheme="minorHAnsi"/>
          <w:noProof/>
          <w:sz w:val="22"/>
          <w:szCs w:val="22"/>
        </w:rPr>
      </w:pPr>
    </w:p>
    <w:p w:rsidR="00834B73" w:rsidRDefault="00A01C5F" w:rsidP="00D46206">
      <w:pPr>
        <w:spacing w:after="160"/>
        <w:rPr>
          <w:rFonts w:asciiTheme="minorHAnsi" w:hAnsiTheme="minorHAnsi"/>
          <w:noProof/>
          <w:sz w:val="22"/>
          <w:szCs w:val="22"/>
        </w:rPr>
      </w:pPr>
      <w:r w:rsidRPr="00D21ABA">
        <w:rPr>
          <w:rFonts w:asciiTheme="minorHAnsi" w:hAnsiTheme="minorHAnsi"/>
          <w:noProof/>
          <w:sz w:val="22"/>
          <w:szCs w:val="22"/>
        </w:rPr>
        <mc:AlternateContent>
          <mc:Choice Requires="wps">
            <w:drawing>
              <wp:anchor distT="0" distB="0" distL="114300" distR="114300" simplePos="0" relativeHeight="251699200" behindDoc="0" locked="0" layoutInCell="1" allowOverlap="1" wp14:anchorId="3D78FB6F" wp14:editId="6552B068">
                <wp:simplePos x="0" y="0"/>
                <wp:positionH relativeFrom="column">
                  <wp:posOffset>3187700</wp:posOffset>
                </wp:positionH>
                <wp:positionV relativeFrom="paragraph">
                  <wp:posOffset>3626485</wp:posOffset>
                </wp:positionV>
                <wp:extent cx="2737485" cy="10160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737485"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21ABA" w:rsidRPr="00D21ABA" w:rsidRDefault="00A01C5F" w:rsidP="0014046F">
                            <w:pPr>
                              <w:jc w:val="center"/>
                              <w:rPr>
                                <w:rFonts w:asciiTheme="minorHAnsi" w:hAnsiTheme="minorHAnsi" w:cs="Times New Roman"/>
                                <w:sz w:val="22"/>
                                <w:szCs w:val="22"/>
                              </w:rPr>
                            </w:pPr>
                            <w:r>
                              <w:rPr>
                                <w:rFonts w:asciiTheme="minorHAnsi" w:hAnsiTheme="minorHAnsi" w:cs="Times New Roman"/>
                                <w:sz w:val="22"/>
                                <w:szCs w:val="22"/>
                              </w:rPr>
                              <w:t xml:space="preserve">Above: </w:t>
                            </w:r>
                            <w:r w:rsidR="0014046F">
                              <w:rPr>
                                <w:rFonts w:asciiTheme="minorHAnsi" w:hAnsiTheme="minorHAnsi" w:cs="Times New Roman"/>
                                <w:sz w:val="22"/>
                                <w:szCs w:val="22"/>
                              </w:rPr>
                              <w:t xml:space="preserve">Bagging </w:t>
                            </w:r>
                            <w:r w:rsidR="0014046F">
                              <w:rPr>
                                <w:rFonts w:asciiTheme="minorHAnsi" w:hAnsiTheme="minorHAnsi" w:cs="Times New Roman"/>
                                <w:i/>
                                <w:sz w:val="22"/>
                                <w:szCs w:val="22"/>
                              </w:rPr>
                              <w:t xml:space="preserve">Tibouchina herbacea </w:t>
                            </w:r>
                            <w:r w:rsidR="0014046F">
                              <w:rPr>
                                <w:rFonts w:asciiTheme="minorHAnsi" w:hAnsiTheme="minorHAnsi" w:cs="Times New Roman"/>
                                <w:sz w:val="22"/>
                                <w:szCs w:val="22"/>
                              </w:rPr>
                              <w:t>for later incineration.</w:t>
                            </w:r>
                            <w:r w:rsidR="00E11938">
                              <w:rPr>
                                <w:rFonts w:asciiTheme="minorHAnsi" w:hAnsiTheme="minorHAnsi" w:cs="Times New Roman"/>
                                <w:sz w:val="22"/>
                                <w:szCs w:val="22"/>
                              </w:rPr>
                              <w:t xml:space="preserve"> The red arrows point to immature plants. </w:t>
                            </w:r>
                            <w:r>
                              <w:rPr>
                                <w:rFonts w:asciiTheme="minorHAnsi" w:hAnsiTheme="minorHAnsi" w:cs="Times New Roman"/>
                                <w:sz w:val="22"/>
                                <w:szCs w:val="22"/>
                              </w:rPr>
                              <w:t>Below: fuzzy leaves and bright pink flowers help identify Tibouchina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FB6F" id="Text Box 25" o:spid="_x0000_s1028" type="#_x0000_t202" style="position:absolute;margin-left:251pt;margin-top:285.55pt;width:215.55pt;height: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" filled="f" stroked="f">
                <v:textbox>
                  <w:txbxContent>
                    <w:p w:rsidR="00D21ABA" w:rsidRPr="00D21ABA" w:rsidRDefault="00A01C5F" w:rsidP="0014046F">
                      <w:pPr>
                        <w:jc w:val="center"/>
                        <w:rPr>
                          <w:rFonts w:asciiTheme="minorHAnsi" w:hAnsiTheme="minorHAnsi" w:cs="Times New Roman"/>
                          <w:sz w:val="22"/>
                          <w:szCs w:val="22"/>
                        </w:rPr>
                      </w:pPr>
                      <w:r>
                        <w:rPr>
                          <w:rFonts w:asciiTheme="minorHAnsi" w:hAnsiTheme="minorHAnsi" w:cs="Times New Roman"/>
                          <w:sz w:val="22"/>
                          <w:szCs w:val="22"/>
                        </w:rPr>
                        <w:t xml:space="preserve">Above: </w:t>
                      </w:r>
                      <w:r w:rsidR="0014046F">
                        <w:rPr>
                          <w:rFonts w:asciiTheme="minorHAnsi" w:hAnsiTheme="minorHAnsi" w:cs="Times New Roman"/>
                          <w:sz w:val="22"/>
                          <w:szCs w:val="22"/>
                        </w:rPr>
                        <w:t xml:space="preserve">Bagging </w:t>
                      </w:r>
                      <w:r w:rsidR="0014046F">
                        <w:rPr>
                          <w:rFonts w:asciiTheme="minorHAnsi" w:hAnsiTheme="minorHAnsi" w:cs="Times New Roman"/>
                          <w:i/>
                          <w:sz w:val="22"/>
                          <w:szCs w:val="22"/>
                        </w:rPr>
                        <w:t xml:space="preserve">Tibouchina herbacea </w:t>
                      </w:r>
                      <w:r w:rsidR="0014046F">
                        <w:rPr>
                          <w:rFonts w:asciiTheme="minorHAnsi" w:hAnsiTheme="minorHAnsi" w:cs="Times New Roman"/>
                          <w:sz w:val="22"/>
                          <w:szCs w:val="22"/>
                        </w:rPr>
                        <w:t>for later incineration.</w:t>
                      </w:r>
                      <w:r w:rsidR="00E11938">
                        <w:rPr>
                          <w:rFonts w:asciiTheme="minorHAnsi" w:hAnsiTheme="minorHAnsi" w:cs="Times New Roman"/>
                          <w:sz w:val="22"/>
                          <w:szCs w:val="22"/>
                        </w:rPr>
                        <w:t xml:space="preserve"> The red arrows point to immature plants. </w:t>
                      </w:r>
                      <w:r>
                        <w:rPr>
                          <w:rFonts w:asciiTheme="minorHAnsi" w:hAnsiTheme="minorHAnsi" w:cs="Times New Roman"/>
                          <w:sz w:val="22"/>
                          <w:szCs w:val="22"/>
                        </w:rPr>
                        <w:t>Below: fuzzy leaves and bright pink flowers help identify Tibouchina</w:t>
                      </w:r>
                    </w:p>
                  </w:txbxContent>
                </v:textbox>
                <w10:wrap type="square"/>
              </v:shape>
            </w:pict>
          </mc:Fallback>
        </mc:AlternateContent>
      </w:r>
      <w:r>
        <w:rPr>
          <w:rFonts w:asciiTheme="minorHAnsi" w:hAnsiTheme="minorHAnsi"/>
          <w:noProof/>
          <w:sz w:val="22"/>
          <w:szCs w:val="22"/>
        </w:rPr>
        <w:drawing>
          <wp:anchor distT="0" distB="0" distL="114300" distR="114300" simplePos="0" relativeHeight="251706368" behindDoc="1" locked="0" layoutInCell="1" allowOverlap="1" wp14:anchorId="49E2A6B7" wp14:editId="172284D0">
            <wp:simplePos x="0" y="0"/>
            <wp:positionH relativeFrom="margin">
              <wp:posOffset>2819400</wp:posOffset>
            </wp:positionH>
            <wp:positionV relativeFrom="paragraph">
              <wp:posOffset>469265</wp:posOffset>
            </wp:positionV>
            <wp:extent cx="3552825" cy="2664460"/>
            <wp:effectExtent l="6033" t="0" r="0" b="0"/>
            <wp:wrapTight wrapText="bothSides">
              <wp:wrapPolygon edited="0">
                <wp:start x="37" y="21494"/>
                <wp:lineTo x="152" y="21494"/>
                <wp:lineTo x="1890" y="21649"/>
                <wp:lineTo x="20536" y="21649"/>
                <wp:lineTo x="21463" y="21494"/>
                <wp:lineTo x="21463" y="337"/>
                <wp:lineTo x="20536" y="183"/>
                <wp:lineTo x="37" y="183"/>
                <wp:lineTo x="37" y="337"/>
                <wp:lineTo x="37" y="2149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9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52825" cy="26644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0" distB="0" distL="114300" distR="114300" simplePos="0" relativeHeight="251709440" behindDoc="0" locked="0" layoutInCell="1" allowOverlap="1" wp14:anchorId="224DDA3C" wp14:editId="1FB9EBE4">
                <wp:simplePos x="0" y="0"/>
                <wp:positionH relativeFrom="column">
                  <wp:posOffset>4425950</wp:posOffset>
                </wp:positionH>
                <wp:positionV relativeFrom="paragraph">
                  <wp:posOffset>2714625</wp:posOffset>
                </wp:positionV>
                <wp:extent cx="298450" cy="45085"/>
                <wp:effectExtent l="19050" t="76200" r="0" b="69215"/>
                <wp:wrapNone/>
                <wp:docPr id="23" name="Straight Arrow Connector 23"/>
                <wp:cNvGraphicFramePr/>
                <a:graphic xmlns:a="http://schemas.openxmlformats.org/drawingml/2006/main">
                  <a:graphicData uri="http://schemas.microsoft.com/office/word/2010/wordprocessingShape">
                    <wps:wsp>
                      <wps:cNvCnPr/>
                      <wps:spPr>
                        <a:xfrm flipV="1">
                          <a:off x="0" y="0"/>
                          <a:ext cx="298450" cy="45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040E6" id="_x0000_t32" coordsize="21600,21600" o:spt="32" o:oned="t" path="m,l21600,21600e" filled="f">
                <v:path arrowok="t" fillok="f" o:connecttype="none"/>
                <o:lock v:ext="edit" shapetype="t"/>
              </v:shapetype>
              <v:shape id="Straight Arrow Connector 23" o:spid="_x0000_s1026" type="#_x0000_t32" style="position:absolute;margin-left:348.5pt;margin-top:213.75pt;width:23.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" strokecolor="red" strokeweight="3pt">
                <v:stroke endarrow="block" joinstyle="miter"/>
              </v:shape>
            </w:pict>
          </mc:Fallback>
        </mc:AlternateContent>
      </w:r>
      <w:r>
        <w:rPr>
          <w:rFonts w:asciiTheme="minorHAnsi" w:hAnsiTheme="minorHAnsi"/>
          <w:noProof/>
        </w:rPr>
        <mc:AlternateContent>
          <mc:Choice Requires="wps">
            <w:drawing>
              <wp:anchor distT="0" distB="0" distL="114300" distR="114300" simplePos="0" relativeHeight="251707392" behindDoc="0" locked="0" layoutInCell="1" allowOverlap="1" wp14:anchorId="3A9B573B" wp14:editId="746E3E42">
                <wp:simplePos x="0" y="0"/>
                <wp:positionH relativeFrom="column">
                  <wp:posOffset>4413567</wp:posOffset>
                </wp:positionH>
                <wp:positionV relativeFrom="paragraph">
                  <wp:posOffset>2749551</wp:posOffset>
                </wp:positionV>
                <wp:extent cx="231775" cy="168275"/>
                <wp:effectExtent l="19050" t="19050" r="73025" b="41275"/>
                <wp:wrapNone/>
                <wp:docPr id="22" name="Straight Arrow Connector 22"/>
                <wp:cNvGraphicFramePr/>
                <a:graphic xmlns:a="http://schemas.openxmlformats.org/drawingml/2006/main">
                  <a:graphicData uri="http://schemas.microsoft.com/office/word/2010/wordprocessingShape">
                    <wps:wsp>
                      <wps:cNvCnPr/>
                      <wps:spPr>
                        <a:xfrm>
                          <a:off x="0" y="0"/>
                          <a:ext cx="231775" cy="168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92BFC" id="Straight Arrow Connector 22" o:spid="_x0000_s1026" type="#_x0000_t32" style="position:absolute;margin-left:347.5pt;margin-top:216.5pt;width:18.25pt;height:13.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" strokecolor="red" strokeweight="3pt">
                <v:stroke endarrow="block" joinstyle="miter"/>
              </v:shape>
            </w:pict>
          </mc:Fallback>
        </mc:AlternateContent>
      </w:r>
      <w:r w:rsidR="00026889" w:rsidRPr="00026889">
        <w:rPr>
          <w:rFonts w:asciiTheme="minorHAnsi" w:hAnsiTheme="minorHAnsi"/>
          <w:noProof/>
          <w:sz w:val="22"/>
          <w:szCs w:val="22"/>
        </w:rPr>
        <mc:AlternateContent>
          <mc:Choice Requires="wps">
            <w:drawing>
              <wp:anchor distT="45720" distB="45720" distL="114300" distR="114300" simplePos="0" relativeHeight="251664384" behindDoc="1" locked="0" layoutInCell="1" allowOverlap="1" wp14:anchorId="60D9442C" wp14:editId="0A193B8E">
                <wp:simplePos x="0" y="0"/>
                <wp:positionH relativeFrom="margin">
                  <wp:posOffset>0</wp:posOffset>
                </wp:positionH>
                <wp:positionV relativeFrom="page">
                  <wp:posOffset>16779240</wp:posOffset>
                </wp:positionV>
                <wp:extent cx="5925312" cy="576072"/>
                <wp:effectExtent l="0" t="0" r="18415" b="146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76072"/>
                        </a:xfrm>
                        <a:prstGeom prst="rect">
                          <a:avLst/>
                        </a:prstGeom>
                        <a:solidFill>
                          <a:srgbClr val="FFFFFF"/>
                        </a:solidFill>
                        <a:ln w="9525">
                          <a:solidFill>
                            <a:srgbClr val="000000"/>
                          </a:solidFill>
                          <a:miter lim="800000"/>
                          <a:headEnd/>
                          <a:tailEnd/>
                        </a:ln>
                      </wps:spPr>
                      <wps:txbx>
                        <w:txbxContent>
                          <w:sdt>
                            <w:sdtPr>
                              <w:id w:val="-196941727"/>
                              <w:temporary/>
                              <w:showingPlcHdr/>
                              <w15:appearance w15:val="hidden"/>
                            </w:sdtPr>
                            <w:sdtEndPr/>
                            <w:sdtContent>
                              <w:p w:rsidR="00026889" w:rsidRDefault="00026889">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9442C" id="_x0000_s1029" type="#_x0000_t202" style="position:absolute;margin-left:0;margin-top:1321.2pt;width:466.55pt;height:45.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">
                <v:textbox>
                  <w:txbxContent>
                    <w:sdt>
                      <w:sdtPr>
                        <w:id w:val="-196941727"/>
                        <w:temporary/>
                        <w:showingPlcHdr/>
                        <w15:appearance w15:val="hidden"/>
                      </w:sdtPr>
                      <w:sdtEndPr/>
                      <w:sdtContent>
                        <w:p w:rsidR="00026889" w:rsidRDefault="00026889">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v:textbox>
                <w10:wrap type="topAndBottom" anchorx="margin" anchory="page"/>
              </v:shape>
            </w:pict>
          </mc:Fallback>
        </mc:AlternateContent>
      </w:r>
      <w:r w:rsidR="00A77BF6">
        <w:rPr>
          <w:rFonts w:asciiTheme="minorHAnsi" w:hAnsiTheme="minorHAnsi"/>
          <w:noProof/>
          <w:sz w:val="22"/>
          <w:szCs w:val="22"/>
        </w:rPr>
        <w:t>The Oʻahu Invasive Species Committee conducts surveys and control for invasive species that threaten the island’s watersheds, forests, economy, agriculture and quality of life. The OISC field crew spends 90% of their work hours either on the ground or in a helicopter looking for and removing invasive species. We target species that are not yet established on the island, but would cause major damage if not controlled. OISC operations are guided by the OISC steering c</w:t>
      </w:r>
      <w:r w:rsidR="00834B73">
        <w:rPr>
          <w:rFonts w:asciiTheme="minorHAnsi" w:hAnsiTheme="minorHAnsi"/>
          <w:noProof/>
          <w:sz w:val="22"/>
          <w:szCs w:val="22"/>
        </w:rPr>
        <w:t>ommittee which is made up of re</w:t>
      </w:r>
      <w:r w:rsidR="00A77BF6">
        <w:rPr>
          <w:rFonts w:asciiTheme="minorHAnsi" w:hAnsiTheme="minorHAnsi"/>
          <w:noProof/>
          <w:sz w:val="22"/>
          <w:szCs w:val="22"/>
        </w:rPr>
        <w:t>presen</w:t>
      </w:r>
      <w:r w:rsidR="00834B73">
        <w:rPr>
          <w:rFonts w:asciiTheme="minorHAnsi" w:hAnsiTheme="minorHAnsi"/>
          <w:noProof/>
          <w:sz w:val="22"/>
          <w:szCs w:val="22"/>
        </w:rPr>
        <w:t>t</w:t>
      </w:r>
      <w:r w:rsidR="00A77BF6">
        <w:rPr>
          <w:rFonts w:asciiTheme="minorHAnsi" w:hAnsiTheme="minorHAnsi"/>
          <w:noProof/>
          <w:sz w:val="22"/>
          <w:szCs w:val="22"/>
        </w:rPr>
        <w:t>atives of conservation organizations and land</w:t>
      </w:r>
      <w:r w:rsidR="00C13AA9">
        <w:rPr>
          <w:rFonts w:asciiTheme="minorHAnsi" w:hAnsiTheme="minorHAnsi"/>
          <w:noProof/>
          <w:sz w:val="22"/>
          <w:szCs w:val="22"/>
        </w:rPr>
        <w:t xml:space="preserve"> managers. </w:t>
      </w:r>
      <w:r w:rsidR="00A77BF6">
        <w:rPr>
          <w:rFonts w:asciiTheme="minorHAnsi" w:hAnsiTheme="minorHAnsi"/>
          <w:noProof/>
          <w:sz w:val="22"/>
          <w:szCs w:val="22"/>
        </w:rPr>
        <w:t>Many of the people who serve on OISC’s steering committee today were giving up their weekends to control invasive species as volunteers when OISC was first formed back in 2002.</w:t>
      </w:r>
      <w:r w:rsidR="00344EBA">
        <w:rPr>
          <w:rFonts w:asciiTheme="minorHAnsi" w:hAnsiTheme="minorHAnsi"/>
          <w:noProof/>
          <w:sz w:val="22"/>
          <w:szCs w:val="22"/>
        </w:rPr>
        <w:t xml:space="preserve"> </w:t>
      </w:r>
      <w:r w:rsidR="00834B73">
        <w:rPr>
          <w:rFonts w:asciiTheme="minorHAnsi" w:hAnsiTheme="minorHAnsi"/>
          <w:noProof/>
          <w:sz w:val="22"/>
          <w:szCs w:val="22"/>
        </w:rPr>
        <w:t>In 2015, HISC awarded OISC</w:t>
      </w:r>
      <w:r w:rsidR="00FF771A">
        <w:rPr>
          <w:rFonts w:asciiTheme="minorHAnsi" w:hAnsiTheme="minorHAnsi"/>
          <w:noProof/>
          <w:sz w:val="22"/>
          <w:szCs w:val="22"/>
        </w:rPr>
        <w:t>, the Koʿolau Mountain Watershed Partnership (KMWP) and the Natural Area Reserve Program</w:t>
      </w:r>
      <w:r w:rsidR="00184226">
        <w:rPr>
          <w:rFonts w:asciiTheme="minorHAnsi" w:hAnsiTheme="minorHAnsi"/>
          <w:noProof/>
          <w:sz w:val="22"/>
          <w:szCs w:val="22"/>
        </w:rPr>
        <w:t xml:space="preserve"> (NARS)</w:t>
      </w:r>
      <w:r w:rsidR="00834B73">
        <w:rPr>
          <w:rFonts w:asciiTheme="minorHAnsi" w:hAnsiTheme="minorHAnsi"/>
          <w:noProof/>
          <w:sz w:val="22"/>
          <w:szCs w:val="22"/>
        </w:rPr>
        <w:t xml:space="preserve"> $</w:t>
      </w:r>
      <w:r w:rsidR="00FF771A">
        <w:rPr>
          <w:rFonts w:asciiTheme="minorHAnsi" w:hAnsiTheme="minorHAnsi"/>
          <w:noProof/>
          <w:sz w:val="22"/>
          <w:szCs w:val="22"/>
        </w:rPr>
        <w:t>62,050</w:t>
      </w:r>
      <w:r w:rsidR="00377C1C">
        <w:rPr>
          <w:rFonts w:asciiTheme="minorHAnsi" w:hAnsiTheme="minorHAnsi"/>
          <w:noProof/>
          <w:sz w:val="22"/>
          <w:szCs w:val="22"/>
        </w:rPr>
        <w:t xml:space="preserve"> for survey</w:t>
      </w:r>
      <w:r w:rsidR="005E2825">
        <w:rPr>
          <w:rFonts w:asciiTheme="minorHAnsi" w:hAnsiTheme="minorHAnsi"/>
          <w:noProof/>
          <w:sz w:val="22"/>
          <w:szCs w:val="22"/>
        </w:rPr>
        <w:t>s</w:t>
      </w:r>
      <w:r w:rsidR="00377C1C">
        <w:rPr>
          <w:rFonts w:asciiTheme="minorHAnsi" w:hAnsiTheme="minorHAnsi"/>
          <w:noProof/>
          <w:sz w:val="22"/>
          <w:szCs w:val="22"/>
        </w:rPr>
        <w:t xml:space="preserve"> and control of </w:t>
      </w:r>
      <w:r w:rsidR="005E2825">
        <w:rPr>
          <w:rFonts w:asciiTheme="minorHAnsi" w:hAnsiTheme="minorHAnsi"/>
          <w:noProof/>
          <w:sz w:val="22"/>
          <w:szCs w:val="22"/>
        </w:rPr>
        <w:t>cane ti (</w:t>
      </w:r>
      <w:r w:rsidR="005E2825">
        <w:rPr>
          <w:rFonts w:asciiTheme="minorHAnsi" w:hAnsiTheme="minorHAnsi"/>
          <w:i/>
          <w:noProof/>
          <w:sz w:val="22"/>
          <w:szCs w:val="22"/>
        </w:rPr>
        <w:t>Tibouchina herbacea</w:t>
      </w:r>
      <w:r w:rsidR="005E2825">
        <w:rPr>
          <w:rFonts w:asciiTheme="minorHAnsi" w:hAnsiTheme="minorHAnsi"/>
          <w:noProof/>
          <w:sz w:val="22"/>
          <w:szCs w:val="22"/>
        </w:rPr>
        <w:t>)</w:t>
      </w:r>
      <w:r w:rsidR="00377C1C">
        <w:rPr>
          <w:rFonts w:asciiTheme="minorHAnsi" w:hAnsiTheme="minorHAnsi"/>
          <w:noProof/>
          <w:sz w:val="22"/>
          <w:szCs w:val="22"/>
        </w:rPr>
        <w:t xml:space="preserve">. OISC raised an additional </w:t>
      </w:r>
      <w:r w:rsidR="00126376">
        <w:rPr>
          <w:rFonts w:asciiTheme="minorHAnsi" w:hAnsiTheme="minorHAnsi"/>
          <w:noProof/>
          <w:sz w:val="22"/>
          <w:szCs w:val="22"/>
        </w:rPr>
        <w:t>$</w:t>
      </w:r>
      <w:r w:rsidR="00FF771A">
        <w:rPr>
          <w:rFonts w:asciiTheme="minorHAnsi" w:hAnsiTheme="minorHAnsi"/>
          <w:noProof/>
          <w:sz w:val="22"/>
          <w:szCs w:val="22"/>
        </w:rPr>
        <w:t>75,000</w:t>
      </w:r>
      <w:r w:rsidR="00126376">
        <w:rPr>
          <w:rFonts w:asciiTheme="minorHAnsi" w:hAnsiTheme="minorHAnsi"/>
          <w:noProof/>
          <w:sz w:val="22"/>
          <w:szCs w:val="22"/>
        </w:rPr>
        <w:t xml:space="preserve"> from </w:t>
      </w:r>
      <w:r w:rsidR="00FF771A">
        <w:rPr>
          <w:rFonts w:asciiTheme="minorHAnsi" w:hAnsiTheme="minorHAnsi"/>
          <w:noProof/>
          <w:sz w:val="22"/>
          <w:szCs w:val="22"/>
        </w:rPr>
        <w:t xml:space="preserve">the National Fish and Wildlife Foundation. </w:t>
      </w:r>
      <w:r w:rsidR="00835752">
        <w:rPr>
          <w:rFonts w:asciiTheme="minorHAnsi" w:hAnsiTheme="minorHAnsi"/>
          <w:noProof/>
          <w:sz w:val="22"/>
          <w:szCs w:val="22"/>
        </w:rPr>
        <w:t xml:space="preserve">The deliverables and accomplishments described below include </w:t>
      </w:r>
      <w:r w:rsidR="00192137">
        <w:rPr>
          <w:rFonts w:asciiTheme="minorHAnsi" w:hAnsiTheme="minorHAnsi"/>
          <w:noProof/>
          <w:sz w:val="22"/>
          <w:szCs w:val="22"/>
        </w:rPr>
        <w:t xml:space="preserve">HISC </w:t>
      </w:r>
      <w:r w:rsidR="00800C52">
        <w:rPr>
          <w:rFonts w:asciiTheme="minorHAnsi" w:hAnsiTheme="minorHAnsi"/>
          <w:noProof/>
          <w:sz w:val="22"/>
          <w:szCs w:val="22"/>
        </w:rPr>
        <w:t xml:space="preserve">funded </w:t>
      </w:r>
      <w:r w:rsidR="00835752">
        <w:rPr>
          <w:rFonts w:asciiTheme="minorHAnsi" w:hAnsiTheme="minorHAnsi"/>
          <w:noProof/>
          <w:sz w:val="22"/>
          <w:szCs w:val="22"/>
        </w:rPr>
        <w:t xml:space="preserve">activities conducted with </w:t>
      </w:r>
      <w:r w:rsidR="00FF771A">
        <w:rPr>
          <w:rFonts w:asciiTheme="minorHAnsi" w:hAnsiTheme="minorHAnsi"/>
          <w:noProof/>
          <w:sz w:val="22"/>
          <w:szCs w:val="22"/>
        </w:rPr>
        <w:t xml:space="preserve">NFWF </w:t>
      </w:r>
      <w:r w:rsidR="00835752">
        <w:rPr>
          <w:rFonts w:asciiTheme="minorHAnsi" w:hAnsiTheme="minorHAnsi"/>
          <w:noProof/>
          <w:sz w:val="22"/>
          <w:szCs w:val="22"/>
        </w:rPr>
        <w:t>matching</w:t>
      </w:r>
      <w:r w:rsidR="00FF771A">
        <w:rPr>
          <w:rFonts w:asciiTheme="minorHAnsi" w:hAnsiTheme="minorHAnsi"/>
          <w:noProof/>
          <w:sz w:val="22"/>
          <w:szCs w:val="22"/>
        </w:rPr>
        <w:t xml:space="preserve"> funds and reflect the work of OISC, KMWP and NARS.</w:t>
      </w:r>
    </w:p>
    <w:p w:rsidR="00116348" w:rsidRDefault="00A01C5F" w:rsidP="00D46206">
      <w:pPr>
        <w:pStyle w:val="Normal12pt"/>
        <w:spacing w:after="0" w:line="240" w:lineRule="auto"/>
        <w:rPr>
          <w:rFonts w:asciiTheme="minorHAnsi" w:eastAsia="Malgun Gothic" w:hAnsiTheme="minorHAnsi"/>
        </w:rPr>
      </w:pPr>
      <w:r>
        <w:rPr>
          <w:rFonts w:asciiTheme="minorHAnsi" w:eastAsia="Malgun Gothic" w:hAnsiTheme="minorHAnsi"/>
          <w:noProof/>
        </w:rPr>
        <w:drawing>
          <wp:anchor distT="0" distB="0" distL="114300" distR="114300" simplePos="0" relativeHeight="251710464" behindDoc="0" locked="0" layoutInCell="1" allowOverlap="1" wp14:anchorId="15149FB5" wp14:editId="533F91BC">
            <wp:simplePos x="0" y="0"/>
            <wp:positionH relativeFrom="margin">
              <wp:align>right</wp:align>
            </wp:positionH>
            <wp:positionV relativeFrom="paragraph">
              <wp:posOffset>467995</wp:posOffset>
            </wp:positionV>
            <wp:extent cx="3014345" cy="28600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571.JPG"/>
                    <pic:cNvPicPr/>
                  </pic:nvPicPr>
                  <pic:blipFill rotWithShape="1">
                    <a:blip r:embed="rId9" cstate="print">
                      <a:extLst>
                        <a:ext uri="{28A0092B-C50C-407E-A947-70E740481C1C}">
                          <a14:useLocalDpi xmlns:a14="http://schemas.microsoft.com/office/drawing/2010/main" val="0"/>
                        </a:ext>
                      </a:extLst>
                    </a:blip>
                    <a:srcRect r="20940"/>
                    <a:stretch/>
                  </pic:blipFill>
                  <pic:spPr bwMode="auto">
                    <a:xfrm>
                      <a:off x="0" y="0"/>
                      <a:ext cx="3014345" cy="28600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206" w:rsidRPr="00D46206">
        <w:rPr>
          <w:rFonts w:asciiTheme="minorHAnsi" w:eastAsia="Malgun Gothic" w:hAnsiTheme="minorHAnsi"/>
        </w:rPr>
        <w:t xml:space="preserve">Cane ti threatens priority watershed </w:t>
      </w:r>
      <w:r w:rsidR="00D46206">
        <w:rPr>
          <w:rFonts w:asciiTheme="minorHAnsi" w:eastAsia="Malgun Gothic" w:hAnsiTheme="minorHAnsi"/>
        </w:rPr>
        <w:t>habitat in Poamoho, an area in the northern Koʿolau Range</w:t>
      </w:r>
      <w:r w:rsidR="00D46206" w:rsidRPr="00D46206">
        <w:rPr>
          <w:rFonts w:asciiTheme="minorHAnsi" w:eastAsia="Malgun Gothic" w:hAnsiTheme="minorHAnsi"/>
        </w:rPr>
        <w:t xml:space="preserve"> that hosts 11 animals and 18 plants with federal status, meaning these species are vulnerable to or have a high risk of extinction. The O‘ahu Army Natural Resources Program (OANRP) discovered the highly invasive cane ti (</w:t>
      </w:r>
      <w:r w:rsidR="00D46206" w:rsidRPr="00D46206">
        <w:rPr>
          <w:rFonts w:asciiTheme="minorHAnsi" w:eastAsia="Malgun Gothic" w:hAnsiTheme="minorHAnsi"/>
          <w:i/>
        </w:rPr>
        <w:t>Tibouchina herbacea</w:t>
      </w:r>
      <w:r w:rsidR="00D46206" w:rsidRPr="00D46206">
        <w:rPr>
          <w:rFonts w:asciiTheme="minorHAnsi" w:eastAsia="Malgun Gothic" w:hAnsiTheme="minorHAnsi"/>
        </w:rPr>
        <w:t xml:space="preserve">) in the Poamoho region in 2008. This aggressive weed was not known to be naturalized on O‘ahu, but it is widespread on both Hawai‘i island and Maui where is it beyond the scope of eradication. Cane ti poses a major threat to Ko‘olau forests, especially the near-pristine summit regions, as it thrives in wet forest conditions, produces hundreds of tiny seeds and is spread by broken stems or via wind, birds, and pigs. </w:t>
      </w:r>
      <w:r w:rsidR="00116348">
        <w:rPr>
          <w:rFonts w:asciiTheme="minorHAnsi" w:eastAsia="Malgun Gothic" w:hAnsiTheme="minorHAnsi"/>
        </w:rPr>
        <w:t>We suspect that the population in Poamoho was accidentally introduced by h</w:t>
      </w:r>
      <w:r w:rsidR="00D46206" w:rsidRPr="00D46206">
        <w:rPr>
          <w:rFonts w:asciiTheme="minorHAnsi" w:eastAsia="Malgun Gothic" w:hAnsiTheme="minorHAnsi"/>
        </w:rPr>
        <w:t>ikers</w:t>
      </w:r>
      <w:r w:rsidR="00116348">
        <w:rPr>
          <w:rFonts w:asciiTheme="minorHAnsi" w:eastAsia="Malgun Gothic" w:hAnsiTheme="minorHAnsi"/>
        </w:rPr>
        <w:t xml:space="preserve"> that had recently </w:t>
      </w:r>
      <w:r w:rsidR="00B0591B">
        <w:rPr>
          <w:rFonts w:asciiTheme="minorHAnsi" w:eastAsia="Malgun Gothic" w:hAnsiTheme="minorHAnsi"/>
        </w:rPr>
        <w:t xml:space="preserve">been </w:t>
      </w:r>
      <w:r w:rsidR="00116348">
        <w:rPr>
          <w:rFonts w:asciiTheme="minorHAnsi" w:eastAsia="Malgun Gothic" w:hAnsiTheme="minorHAnsi"/>
        </w:rPr>
        <w:t>hiking on Maui or the Big Island. P</w:t>
      </w:r>
      <w:r w:rsidR="00D46206" w:rsidRPr="00D46206">
        <w:rPr>
          <w:rFonts w:asciiTheme="minorHAnsi" w:eastAsia="Malgun Gothic" w:hAnsiTheme="minorHAnsi"/>
        </w:rPr>
        <w:t xml:space="preserve">lant material capable of reproducing </w:t>
      </w:r>
      <w:r w:rsidR="00116348">
        <w:rPr>
          <w:rFonts w:asciiTheme="minorHAnsi" w:eastAsia="Malgun Gothic" w:hAnsiTheme="minorHAnsi"/>
        </w:rPr>
        <w:t xml:space="preserve">can be carried </w:t>
      </w:r>
      <w:r w:rsidR="00D46206" w:rsidRPr="00D46206">
        <w:rPr>
          <w:rFonts w:asciiTheme="minorHAnsi" w:eastAsia="Malgun Gothic" w:hAnsiTheme="minorHAnsi"/>
        </w:rPr>
        <w:t xml:space="preserve">on shoes, clothes, and backpacks. </w:t>
      </w:r>
    </w:p>
    <w:p w:rsidR="00116348" w:rsidRDefault="00116348" w:rsidP="00D46206">
      <w:pPr>
        <w:pStyle w:val="Normal12pt"/>
        <w:spacing w:after="0" w:line="240" w:lineRule="auto"/>
        <w:rPr>
          <w:rFonts w:asciiTheme="minorHAnsi" w:eastAsia="Malgun Gothic" w:hAnsiTheme="minorHAnsi"/>
        </w:rPr>
      </w:pPr>
    </w:p>
    <w:p w:rsidR="00C74D86" w:rsidRDefault="00116348" w:rsidP="00D46206">
      <w:pPr>
        <w:pStyle w:val="Normal12pt"/>
        <w:spacing w:after="0" w:line="240" w:lineRule="auto"/>
        <w:rPr>
          <w:rFonts w:asciiTheme="minorHAnsi" w:hAnsiTheme="minorHAnsi"/>
        </w:rPr>
      </w:pPr>
      <w:r>
        <w:rPr>
          <w:rFonts w:asciiTheme="minorHAnsi" w:eastAsia="Malgun Gothic" w:hAnsiTheme="minorHAnsi"/>
        </w:rPr>
        <w:lastRenderedPageBreak/>
        <w:t>Cane ti</w:t>
      </w:r>
      <w:r w:rsidR="00D46206" w:rsidRPr="00D46206">
        <w:rPr>
          <w:rFonts w:asciiTheme="minorHAnsi" w:eastAsia="Malgun Gothic" w:hAnsiTheme="minorHAnsi"/>
        </w:rPr>
        <w:t xml:space="preserve"> spread across the mountains of west Maui</w:t>
      </w:r>
      <w:r>
        <w:rPr>
          <w:rFonts w:asciiTheme="minorHAnsi" w:eastAsia="Malgun Gothic" w:hAnsiTheme="minorHAnsi"/>
        </w:rPr>
        <w:t xml:space="preserve"> in less than a decade</w:t>
      </w:r>
      <w:r w:rsidR="00D46206" w:rsidRPr="00D46206">
        <w:rPr>
          <w:rFonts w:asciiTheme="minorHAnsi" w:eastAsia="Malgun Gothic" w:hAnsiTheme="minorHAnsi"/>
        </w:rPr>
        <w:t xml:space="preserve">, and it is now one of the West Maui Mountains Watershed Partnership’s main target species. Cane ti is a member of the same family, </w:t>
      </w:r>
      <w:r w:rsidR="00D46206" w:rsidRPr="00D24579">
        <w:rPr>
          <w:rFonts w:asciiTheme="minorHAnsi" w:eastAsia="Malgun Gothic" w:hAnsiTheme="minorHAnsi"/>
          <w:i/>
        </w:rPr>
        <w:t>Melastomataceae</w:t>
      </w:r>
      <w:r w:rsidR="00C74D86">
        <w:rPr>
          <w:rFonts w:asciiTheme="minorHAnsi" w:eastAsia="Malgun Gothic" w:hAnsiTheme="minorHAnsi"/>
        </w:rPr>
        <w:t xml:space="preserve">, as both miconia and </w:t>
      </w:r>
      <w:proofErr w:type="spellStart"/>
      <w:r w:rsidR="00C74D86">
        <w:rPr>
          <w:rFonts w:asciiTheme="minorHAnsi" w:eastAsia="Malgun Gothic" w:hAnsiTheme="minorHAnsi"/>
        </w:rPr>
        <w:t>c</w:t>
      </w:r>
      <w:r w:rsidR="00D46206" w:rsidRPr="00D46206">
        <w:rPr>
          <w:rFonts w:asciiTheme="minorHAnsi" w:eastAsia="Malgun Gothic" w:hAnsiTheme="minorHAnsi"/>
        </w:rPr>
        <w:t>lidemia</w:t>
      </w:r>
      <w:proofErr w:type="spellEnd"/>
      <w:r w:rsidR="00D46206" w:rsidRPr="00D46206">
        <w:rPr>
          <w:rFonts w:asciiTheme="minorHAnsi" w:eastAsia="Malgun Gothic" w:hAnsiTheme="minorHAnsi"/>
        </w:rPr>
        <w:t xml:space="preserve">, two </w:t>
      </w:r>
      <w:r w:rsidR="007B7303" w:rsidRPr="00D46206">
        <w:rPr>
          <w:rFonts w:asciiTheme="minorHAnsi" w:eastAsia="Malgun Gothic" w:hAnsiTheme="minorHAnsi"/>
        </w:rPr>
        <w:t>super weeds</w:t>
      </w:r>
      <w:r w:rsidR="00D46206" w:rsidRPr="00D46206">
        <w:rPr>
          <w:rFonts w:asciiTheme="minorHAnsi" w:eastAsia="Malgun Gothic" w:hAnsiTheme="minorHAnsi"/>
        </w:rPr>
        <w:t xml:space="preserve">. At Poamoho, the plant was believed to be confined to a small area near the summit that has been continuously monitored since 2008. However, it was discovered in fall of 2013 that plants had spread downstream, and had been present long enough to mature and set seed. </w:t>
      </w:r>
      <w:r w:rsidR="00B22BB5">
        <w:rPr>
          <w:rFonts w:asciiTheme="minorHAnsi" w:eastAsia="Malgun Gothic" w:hAnsiTheme="minorHAnsi"/>
        </w:rPr>
        <w:t xml:space="preserve">OISC, KMWP and NARS began control efforts in 2014 and were able to ramp up efforts in 2015 with HISC funds. </w:t>
      </w:r>
    </w:p>
    <w:p w:rsidR="00C74D86" w:rsidRDefault="00C74D86" w:rsidP="00D46206">
      <w:pPr>
        <w:pStyle w:val="Normal12pt"/>
        <w:spacing w:after="0" w:line="240" w:lineRule="auto"/>
        <w:rPr>
          <w:rFonts w:asciiTheme="minorHAnsi" w:hAnsiTheme="minorHAnsi"/>
        </w:rPr>
      </w:pPr>
    </w:p>
    <w:p w:rsidR="006510D2" w:rsidRDefault="00C74D86" w:rsidP="00D46206">
      <w:pPr>
        <w:pStyle w:val="Normal12pt"/>
        <w:spacing w:after="0" w:line="240" w:lineRule="auto"/>
        <w:rPr>
          <w:rFonts w:asciiTheme="minorHAnsi" w:hAnsiTheme="minorHAnsi"/>
        </w:rPr>
      </w:pPr>
      <w:r>
        <w:rPr>
          <w:rFonts w:asciiTheme="minorHAnsi" w:hAnsiTheme="minorHAnsi"/>
        </w:rPr>
        <w:t>In 2015, OISC, KMWP and NARS surveyed 275 acres, delimiting outward from historical points and downstream from the core infestation. Crews removed</w:t>
      </w:r>
      <w:r w:rsidR="00EA5A09">
        <w:rPr>
          <w:rFonts w:asciiTheme="minorHAnsi" w:hAnsiTheme="minorHAnsi"/>
        </w:rPr>
        <w:t xml:space="preserve"> or treated</w:t>
      </w:r>
      <w:r>
        <w:rPr>
          <w:rFonts w:asciiTheme="minorHAnsi" w:hAnsiTheme="minorHAnsi"/>
        </w:rPr>
        <w:t xml:space="preserve"> 1,764 immature and 17 mature plants.</w:t>
      </w:r>
      <w:r w:rsidR="00D46206" w:rsidRPr="00D46206">
        <w:rPr>
          <w:rFonts w:asciiTheme="minorHAnsi" w:hAnsiTheme="minorHAnsi"/>
        </w:rPr>
        <w:t xml:space="preserve"> </w:t>
      </w:r>
      <w:r w:rsidR="002F72A0">
        <w:rPr>
          <w:rFonts w:asciiTheme="minorHAnsi" w:hAnsiTheme="minorHAnsi"/>
        </w:rPr>
        <w:t>Delimiting was done on foot and with binoculars in areas where terrain seemed to</w:t>
      </w:r>
      <w:r w:rsidR="00E53425">
        <w:rPr>
          <w:rFonts w:asciiTheme="minorHAnsi" w:hAnsiTheme="minorHAnsi"/>
        </w:rPr>
        <w:t>o</w:t>
      </w:r>
      <w:r w:rsidR="002F72A0">
        <w:rPr>
          <w:rFonts w:asciiTheme="minorHAnsi" w:hAnsiTheme="minorHAnsi"/>
        </w:rPr>
        <w:t xml:space="preserve"> steep or surveys may have caused too much disturbance to native vegetation. </w:t>
      </w:r>
      <w:r w:rsidR="00F9350E">
        <w:rPr>
          <w:rFonts w:asciiTheme="minorHAnsi" w:hAnsiTheme="minorHAnsi"/>
        </w:rPr>
        <w:t xml:space="preserve">Unfortunately, the characteristics of the vegetation at Poamoho make it difficult to catch plants before they mature. The undergrowth is extremely thick and smaller plants are sometimes not visible beneath the vegetation. As soon as they </w:t>
      </w:r>
      <w:r w:rsidR="00844E12">
        <w:rPr>
          <w:rFonts w:asciiTheme="minorHAnsi" w:hAnsiTheme="minorHAnsi"/>
        </w:rPr>
        <w:t>become visible</w:t>
      </w:r>
      <w:r w:rsidR="00F9350E">
        <w:rPr>
          <w:rFonts w:asciiTheme="minorHAnsi" w:hAnsiTheme="minorHAnsi"/>
        </w:rPr>
        <w:t xml:space="preserve"> they are old enough to flower. </w:t>
      </w:r>
      <w:r w:rsidR="006510D2">
        <w:rPr>
          <w:rFonts w:asciiTheme="minorHAnsi" w:hAnsiTheme="minorHAnsi"/>
        </w:rPr>
        <w:t xml:space="preserve">OISC hopes to </w:t>
      </w:r>
      <w:r w:rsidR="00B22BB5">
        <w:rPr>
          <w:rFonts w:asciiTheme="minorHAnsi" w:hAnsiTheme="minorHAnsi"/>
        </w:rPr>
        <w:t>reduce the number of mature plants found by increasing</w:t>
      </w:r>
      <w:r w:rsidR="006510D2">
        <w:rPr>
          <w:rFonts w:asciiTheme="minorHAnsi" w:hAnsiTheme="minorHAnsi"/>
        </w:rPr>
        <w:t xml:space="preserve"> frequency of surveys in 2016. </w:t>
      </w:r>
    </w:p>
    <w:p w:rsidR="006510D2" w:rsidRDefault="006510D2" w:rsidP="00D46206">
      <w:pPr>
        <w:pStyle w:val="Normal12pt"/>
        <w:spacing w:after="0" w:line="240" w:lineRule="auto"/>
        <w:rPr>
          <w:rFonts w:asciiTheme="minorHAnsi" w:hAnsiTheme="minorHAnsi"/>
        </w:rPr>
      </w:pPr>
    </w:p>
    <w:p w:rsidR="00B26F3C" w:rsidRPr="00A07422" w:rsidRDefault="00D46206" w:rsidP="00D46206">
      <w:pPr>
        <w:pStyle w:val="Normal12pt"/>
        <w:spacing w:after="0" w:line="240" w:lineRule="auto"/>
        <w:rPr>
          <w:rFonts w:asciiTheme="minorHAnsi" w:hAnsiTheme="minorHAnsi"/>
          <w:noProof/>
        </w:rPr>
      </w:pPr>
      <w:r w:rsidRPr="00D46206">
        <w:rPr>
          <w:rFonts w:asciiTheme="minorHAnsi" w:hAnsiTheme="minorHAnsi"/>
        </w:rPr>
        <w:t xml:space="preserve">All crews must have dedicated gear for this species and decontaminate on a daily basis to prevent spreading plants to areas not currently infested. </w:t>
      </w:r>
      <w:r w:rsidR="00822ABC">
        <w:rPr>
          <w:rFonts w:asciiTheme="minorHAnsi" w:hAnsiTheme="minorHAnsi"/>
        </w:rPr>
        <w:t xml:space="preserve">Inside the core infestation, crews wear Tyvek suits that can be bagged and later incinerated to ensure seeds and vegetative material are not spread. </w:t>
      </w:r>
      <w:r w:rsidR="00E35087">
        <w:rPr>
          <w:rFonts w:asciiTheme="minorHAnsi" w:hAnsiTheme="minorHAnsi"/>
        </w:rPr>
        <w:t xml:space="preserve">Plants are either treated on site with herbicide or hand-pulled, bagged and then later incinerated. </w:t>
      </w:r>
    </w:p>
    <w:p w:rsidR="008E6211" w:rsidRDefault="001E64AB" w:rsidP="00D46206">
      <w:pPr>
        <w:rPr>
          <w:rFonts w:asciiTheme="minorHAnsi" w:hAnsiTheme="minorHAnsi"/>
          <w:noProof/>
          <w:sz w:val="22"/>
          <w:szCs w:val="22"/>
        </w:rPr>
      </w:pPr>
      <w:r w:rsidRPr="00D21ABA">
        <w:rPr>
          <w:rFonts w:asciiTheme="minorHAnsi" w:hAnsiTheme="minorHAnsi"/>
          <w:noProof/>
          <w:sz w:val="22"/>
          <w:szCs w:val="22"/>
        </w:rPr>
        <mc:AlternateContent>
          <mc:Choice Requires="wps">
            <w:drawing>
              <wp:anchor distT="0" distB="0" distL="114300" distR="114300" simplePos="0" relativeHeight="251713536" behindDoc="0" locked="0" layoutInCell="1" allowOverlap="1" wp14:anchorId="31E12CA1" wp14:editId="2679E266">
                <wp:simplePos x="0" y="0"/>
                <wp:positionH relativeFrom="margin">
                  <wp:align>center</wp:align>
                </wp:positionH>
                <wp:positionV relativeFrom="paragraph">
                  <wp:posOffset>3952240</wp:posOffset>
                </wp:positionV>
                <wp:extent cx="4127500" cy="546100"/>
                <wp:effectExtent l="0" t="0" r="0" b="6350"/>
                <wp:wrapSquare wrapText="bothSides"/>
                <wp:docPr id="30" name="Text Box 30"/>
                <wp:cNvGraphicFramePr/>
                <a:graphic xmlns:a="http://schemas.openxmlformats.org/drawingml/2006/main">
                  <a:graphicData uri="http://schemas.microsoft.com/office/word/2010/wordprocessingShape">
                    <wps:wsp>
                      <wps:cNvSpPr txBox="1"/>
                      <wps:spPr>
                        <a:xfrm>
                          <a:off x="0" y="0"/>
                          <a:ext cx="4127500" cy="54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01C5F" w:rsidRDefault="00A01C5F" w:rsidP="00A01C5F">
                            <w:pPr>
                              <w:jc w:val="center"/>
                              <w:rPr>
                                <w:rFonts w:asciiTheme="minorHAnsi" w:hAnsiTheme="minorHAnsi" w:cs="Times New Roman"/>
                                <w:sz w:val="22"/>
                                <w:szCs w:val="22"/>
                              </w:rPr>
                            </w:pPr>
                            <w:r>
                              <w:rPr>
                                <w:rFonts w:asciiTheme="minorHAnsi" w:hAnsiTheme="minorHAnsi" w:cs="Times New Roman"/>
                                <w:sz w:val="22"/>
                                <w:szCs w:val="22"/>
                              </w:rPr>
                              <w:t xml:space="preserve">Treating plants in the core infestation. Tyvek suits help </w:t>
                            </w:r>
                          </w:p>
                          <w:p w:rsidR="00A01C5F" w:rsidRPr="00D21ABA" w:rsidRDefault="00A01C5F" w:rsidP="00A01C5F">
                            <w:pPr>
                              <w:jc w:val="center"/>
                              <w:rPr>
                                <w:rFonts w:asciiTheme="minorHAnsi" w:hAnsiTheme="minorHAnsi" w:cs="Times New Roman"/>
                                <w:sz w:val="22"/>
                                <w:szCs w:val="22"/>
                              </w:rPr>
                            </w:pPr>
                            <w:r>
                              <w:rPr>
                                <w:rFonts w:asciiTheme="minorHAnsi" w:hAnsiTheme="minorHAnsi" w:cs="Times New Roman"/>
                                <w:sz w:val="22"/>
                                <w:szCs w:val="22"/>
                              </w:rPr>
                              <w:t>prevent seed dispersal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2CA1" id="Text Box 30" o:spid="_x0000_s1030" type="#_x0000_t202" style="position:absolute;margin-left:0;margin-top:311.2pt;width:325pt;height:43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" filled="f" stroked="f">
                <v:textbox>
                  <w:txbxContent>
                    <w:p w:rsidR="00A01C5F" w:rsidRDefault="00A01C5F" w:rsidP="00A01C5F">
                      <w:pPr>
                        <w:jc w:val="center"/>
                        <w:rPr>
                          <w:rFonts w:asciiTheme="minorHAnsi" w:hAnsiTheme="minorHAnsi" w:cs="Times New Roman"/>
                          <w:sz w:val="22"/>
                          <w:szCs w:val="22"/>
                        </w:rPr>
                      </w:pPr>
                      <w:r>
                        <w:rPr>
                          <w:rFonts w:asciiTheme="minorHAnsi" w:hAnsiTheme="minorHAnsi" w:cs="Times New Roman"/>
                          <w:sz w:val="22"/>
                          <w:szCs w:val="22"/>
                        </w:rPr>
                        <w:t xml:space="preserve">Treating plants in the core infestation. Tyvek suits help </w:t>
                      </w:r>
                    </w:p>
                    <w:p w:rsidR="00A01C5F" w:rsidRPr="00D21ABA" w:rsidRDefault="00A01C5F" w:rsidP="00A01C5F">
                      <w:pPr>
                        <w:jc w:val="center"/>
                        <w:rPr>
                          <w:rFonts w:asciiTheme="minorHAnsi" w:hAnsiTheme="minorHAnsi" w:cs="Times New Roman"/>
                          <w:sz w:val="22"/>
                          <w:szCs w:val="22"/>
                        </w:rPr>
                      </w:pPr>
                      <w:r>
                        <w:rPr>
                          <w:rFonts w:asciiTheme="minorHAnsi" w:hAnsiTheme="minorHAnsi" w:cs="Times New Roman"/>
                          <w:sz w:val="22"/>
                          <w:szCs w:val="22"/>
                        </w:rPr>
                        <w:t>prevent seed dispersal</w:t>
                      </w:r>
                    </w:p>
                  </w:txbxContent>
                </v:textbox>
                <w10:wrap type="square" anchorx="margin"/>
              </v:shape>
            </w:pict>
          </mc:Fallback>
        </mc:AlternateContent>
      </w:r>
      <w:r w:rsidR="00321A47">
        <w:rPr>
          <w:rFonts w:asciiTheme="minorHAnsi" w:eastAsia="Malgun Gothic" w:hAnsiTheme="minorHAnsi"/>
          <w:noProof/>
        </w:rPr>
        <w:drawing>
          <wp:anchor distT="0" distB="0" distL="114300" distR="114300" simplePos="0" relativeHeight="251711488" behindDoc="1" locked="0" layoutInCell="1" allowOverlap="1" wp14:anchorId="2CEF2897" wp14:editId="6DF4F1E8">
            <wp:simplePos x="0" y="0"/>
            <wp:positionH relativeFrom="margin">
              <wp:align>center</wp:align>
            </wp:positionH>
            <wp:positionV relativeFrom="paragraph">
              <wp:posOffset>234315</wp:posOffset>
            </wp:positionV>
            <wp:extent cx="4978400" cy="37338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6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0" cy="373380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rsidR="00321A47" w:rsidRDefault="00321A47" w:rsidP="00D46206">
      <w:pPr>
        <w:rPr>
          <w:rFonts w:asciiTheme="minorHAnsi" w:hAnsiTheme="minorHAnsi"/>
          <w:noProof/>
          <w:sz w:val="22"/>
          <w:szCs w:val="22"/>
        </w:rPr>
      </w:pPr>
    </w:p>
    <w:p w:rsidR="00321A47" w:rsidRDefault="00321A47" w:rsidP="00D46206">
      <w:pPr>
        <w:rPr>
          <w:rFonts w:asciiTheme="minorHAnsi" w:hAnsiTheme="minorHAnsi"/>
          <w:noProof/>
          <w:sz w:val="22"/>
          <w:szCs w:val="22"/>
        </w:rPr>
      </w:pPr>
    </w:p>
    <w:p w:rsidR="00321A47" w:rsidRDefault="00321A47" w:rsidP="00D46206">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0D037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0D037B" w:rsidRPr="00B9223B" w:rsidRDefault="000D037B" w:rsidP="00017D8D">
            <w:pPr>
              <w:rPr>
                <w:rFonts w:asciiTheme="minorHAnsi" w:hAnsiTheme="minorHAnsi"/>
                <w:noProof/>
                <w:sz w:val="22"/>
                <w:szCs w:val="22"/>
              </w:rPr>
            </w:pPr>
            <w:r w:rsidRPr="00B9223B">
              <w:rPr>
                <w:rFonts w:asciiTheme="minorHAnsi" w:hAnsiTheme="minorHAnsi"/>
                <w:noProof/>
                <w:sz w:val="22"/>
                <w:szCs w:val="22"/>
              </w:rPr>
              <w:lastRenderedPageBreak/>
              <w:t>Deliverable</w:t>
            </w:r>
            <w:r w:rsidR="00485CB2">
              <w:rPr>
                <w:rFonts w:asciiTheme="minorHAnsi" w:hAnsiTheme="minorHAnsi"/>
                <w:noProof/>
                <w:sz w:val="22"/>
                <w:szCs w:val="22"/>
              </w:rPr>
              <w:t>s</w:t>
            </w:r>
          </w:p>
        </w:tc>
        <w:tc>
          <w:tcPr>
            <w:tcW w:w="4580" w:type="dxa"/>
          </w:tcPr>
          <w:p w:rsidR="000D037B" w:rsidRPr="00B9223B" w:rsidRDefault="000D037B"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0D037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0D037B" w:rsidRPr="00B9223B" w:rsidRDefault="008C1AB5" w:rsidP="00017D8D">
            <w:pPr>
              <w:rPr>
                <w:rFonts w:asciiTheme="minorHAnsi" w:hAnsiTheme="minorHAnsi"/>
                <w:b w:val="0"/>
                <w:noProof/>
                <w:sz w:val="22"/>
                <w:szCs w:val="22"/>
              </w:rPr>
            </w:pPr>
            <w:r>
              <w:rPr>
                <w:rFonts w:asciiTheme="minorHAnsi" w:hAnsiTheme="minorHAnsi"/>
                <w:b w:val="0"/>
                <w:noProof/>
                <w:sz w:val="22"/>
                <w:szCs w:val="22"/>
              </w:rPr>
              <w:t>Delimit population of cane ti in the 85-acre 200 meter survey buffer.</w:t>
            </w:r>
          </w:p>
        </w:tc>
        <w:tc>
          <w:tcPr>
            <w:tcW w:w="4580" w:type="dxa"/>
          </w:tcPr>
          <w:p w:rsidR="000D037B" w:rsidRPr="00B9223B" w:rsidRDefault="000D037B" w:rsidP="008C1AB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w:t>
            </w:r>
            <w:r w:rsidR="008C1AB5">
              <w:rPr>
                <w:rFonts w:asciiTheme="minorHAnsi" w:hAnsiTheme="minorHAnsi"/>
                <w:noProof/>
                <w:sz w:val="22"/>
                <w:szCs w:val="22"/>
              </w:rPr>
              <w:t xml:space="preserve">and partners surveyed 274.59 acres including </w:t>
            </w:r>
            <w:r w:rsidR="00D952F4">
              <w:rPr>
                <w:rFonts w:asciiTheme="minorHAnsi" w:hAnsiTheme="minorHAnsi"/>
                <w:noProof/>
                <w:sz w:val="22"/>
                <w:szCs w:val="22"/>
              </w:rPr>
              <w:t xml:space="preserve">7 miles of streambed. </w:t>
            </w:r>
          </w:p>
        </w:tc>
      </w:tr>
    </w:tbl>
    <w:p w:rsidR="00834B73" w:rsidRDefault="00834B73">
      <w:pPr>
        <w:rPr>
          <w:rFonts w:asciiTheme="minorHAnsi" w:hAnsiTheme="minorHAnsi"/>
          <w:noProof/>
          <w:sz w:val="22"/>
          <w:szCs w:val="22"/>
        </w:rPr>
      </w:pPr>
    </w:p>
    <w:p w:rsidR="00B069BD" w:rsidRDefault="00321A47" w:rsidP="00210583">
      <w:pPr>
        <w:spacing w:before="240"/>
        <w:rPr>
          <w:rFonts w:asciiTheme="minorHAnsi" w:hAnsiTheme="minorHAnsi"/>
          <w:noProof/>
          <w:sz w:val="22"/>
          <w:szCs w:val="22"/>
        </w:rPr>
      </w:pPr>
      <w:r>
        <w:rPr>
          <w:rFonts w:asciiTheme="minorHAnsi" w:hAnsiTheme="minorHAnsi"/>
          <w:noProof/>
        </w:rPr>
        <w:drawing>
          <wp:anchor distT="0" distB="0" distL="114300" distR="114300" simplePos="0" relativeHeight="251714560" behindDoc="0" locked="0" layoutInCell="1" allowOverlap="1" wp14:anchorId="68F1554E" wp14:editId="0D626D47">
            <wp:simplePos x="0" y="0"/>
            <wp:positionH relativeFrom="margin">
              <wp:posOffset>3848100</wp:posOffset>
            </wp:positionH>
            <wp:positionV relativeFrom="paragraph">
              <wp:posOffset>159385</wp:posOffset>
            </wp:positionV>
            <wp:extent cx="1821815" cy="3239135"/>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MG2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815" cy="323913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A91354">
        <w:rPr>
          <w:rFonts w:asciiTheme="minorHAnsi" w:hAnsiTheme="minorHAnsi"/>
          <w:noProof/>
          <w:sz w:val="22"/>
          <w:szCs w:val="22"/>
        </w:rPr>
        <w:t>The stream that flows out of the core infestati</w:t>
      </w:r>
      <w:r w:rsidR="000B3A52">
        <w:rPr>
          <w:rFonts w:asciiTheme="minorHAnsi" w:hAnsiTheme="minorHAnsi"/>
          <w:noProof/>
          <w:sz w:val="22"/>
          <w:szCs w:val="22"/>
        </w:rPr>
        <w:t>on near the summit has been tho</w:t>
      </w:r>
      <w:r w:rsidR="00A91354">
        <w:rPr>
          <w:rFonts w:asciiTheme="minorHAnsi" w:hAnsiTheme="minorHAnsi"/>
          <w:noProof/>
          <w:sz w:val="22"/>
          <w:szCs w:val="22"/>
        </w:rPr>
        <w:t>roughly delimited. However, it is highly likely that this species has a long-lived seedbank, so the stream should be checked again. Delimiting a 200-meter radius from historical points found proved difficult due to terrain and vegetation. Thick mats of uluhe fern cover up steep dropoffs and the crews did not want to do additional damag</w:t>
      </w:r>
      <w:r w:rsidR="000020CE">
        <w:rPr>
          <w:rFonts w:asciiTheme="minorHAnsi" w:hAnsiTheme="minorHAnsi"/>
          <w:noProof/>
          <w:sz w:val="22"/>
          <w:szCs w:val="22"/>
        </w:rPr>
        <w:t>e by creating disturbance with ground</w:t>
      </w:r>
      <w:r w:rsidR="00A91354">
        <w:rPr>
          <w:rFonts w:asciiTheme="minorHAnsi" w:hAnsiTheme="minorHAnsi"/>
          <w:noProof/>
          <w:sz w:val="22"/>
          <w:szCs w:val="22"/>
        </w:rPr>
        <w:t xml:space="preserve"> surveys. </w:t>
      </w:r>
      <w:r w:rsidR="00B069BD">
        <w:rPr>
          <w:rFonts w:asciiTheme="minorHAnsi" w:hAnsiTheme="minorHAnsi"/>
          <w:noProof/>
          <w:sz w:val="22"/>
          <w:szCs w:val="22"/>
        </w:rPr>
        <w:t xml:space="preserve">We also prioritized stream surveys after an immature plant was found 2 miles from the core infestation. </w:t>
      </w:r>
      <w:r w:rsidR="00B069BD">
        <w:rPr>
          <w:rFonts w:asciiTheme="minorHAnsi" w:hAnsiTheme="minorHAnsi"/>
          <w:noProof/>
          <w:sz w:val="22"/>
          <w:szCs w:val="22"/>
        </w:rPr>
        <w:t xml:space="preserve">Much of the area was surveyed with binoculars in either for safety reasons or so as not to disturb native vegetation. </w:t>
      </w:r>
      <w:bookmarkStart w:id="0" w:name="_GoBack"/>
      <w:bookmarkEnd w:id="0"/>
    </w:p>
    <w:p w:rsidR="00822ABC" w:rsidRDefault="004D7EBF" w:rsidP="00210583">
      <w:pPr>
        <w:spacing w:before="240"/>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15584" behindDoc="0" locked="0" layoutInCell="1" allowOverlap="1" wp14:anchorId="117440CA" wp14:editId="33E63749">
            <wp:simplePos x="0" y="0"/>
            <wp:positionH relativeFrom="margin">
              <wp:align>right</wp:align>
            </wp:positionH>
            <wp:positionV relativeFrom="paragraph">
              <wp:posOffset>1800860</wp:posOffset>
            </wp:positionV>
            <wp:extent cx="5943600" cy="3107055"/>
            <wp:effectExtent l="19050" t="19050" r="19050" b="171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ISC 2015 TibHer Map.jpg"/>
                    <pic:cNvPicPr/>
                  </pic:nvPicPr>
                  <pic:blipFill rotWithShape="1">
                    <a:blip r:embed="rId12">
                      <a:extLst>
                        <a:ext uri="{28A0092B-C50C-407E-A947-70E740481C1C}">
                          <a14:useLocalDpi xmlns:a14="http://schemas.microsoft.com/office/drawing/2010/main" val="0"/>
                        </a:ext>
                      </a:extLst>
                    </a:blip>
                    <a:srcRect t="32352"/>
                    <a:stretch/>
                  </pic:blipFill>
                  <pic:spPr bwMode="auto">
                    <a:xfrm>
                      <a:off x="0" y="0"/>
                      <a:ext cx="5943600" cy="3107055"/>
                    </a:xfrm>
                    <a:prstGeom prst="rect">
                      <a:avLst/>
                    </a:prstGeom>
                    <a:ln w="12700">
                      <a:solidFill>
                        <a:schemeClr val="bg2"/>
                      </a:solidFill>
                    </a:ln>
                    <a:extLst>
                      <a:ext uri="{53640926-AAD7-44D8-BBD7-CCE9431645EC}">
                        <a14:shadowObscured xmlns:a14="http://schemas.microsoft.com/office/drawing/2010/main"/>
                      </a:ext>
                    </a:extLst>
                  </pic:spPr>
                </pic:pic>
              </a:graphicData>
            </a:graphic>
          </wp:anchor>
        </w:drawing>
      </w:r>
      <w:r w:rsidR="00712830">
        <w:rPr>
          <w:rFonts w:asciiTheme="minorHAnsi" w:hAnsiTheme="minorHAnsi"/>
          <w:noProof/>
          <w:sz w:val="22"/>
          <w:szCs w:val="22"/>
        </w:rPr>
        <w:t xml:space="preserve">In 2016, OISC and partners </w:t>
      </w:r>
      <w:r w:rsidR="00BC22EB">
        <w:rPr>
          <w:rFonts w:asciiTheme="minorHAnsi" w:hAnsiTheme="minorHAnsi"/>
          <w:noProof/>
          <w:sz w:val="22"/>
          <w:szCs w:val="22"/>
        </w:rPr>
        <w:t>have received funding from HISC to</w:t>
      </w:r>
      <w:r w:rsidR="00712830">
        <w:rPr>
          <w:rFonts w:asciiTheme="minorHAnsi" w:hAnsiTheme="minorHAnsi"/>
          <w:noProof/>
          <w:sz w:val="22"/>
          <w:szCs w:val="22"/>
        </w:rPr>
        <w:t xml:space="preserve"> re-survey the stream and conduct control operations every other </w:t>
      </w:r>
      <w:r w:rsidR="00FF0199">
        <w:rPr>
          <w:rFonts w:asciiTheme="minorHAnsi" w:hAnsiTheme="minorHAnsi"/>
          <w:noProof/>
          <w:sz w:val="22"/>
          <w:szCs w:val="22"/>
        </w:rPr>
        <w:t xml:space="preserve">month instead of every quarter. </w:t>
      </w:r>
      <w:r w:rsidR="00F75F12">
        <w:rPr>
          <w:rFonts w:asciiTheme="minorHAnsi" w:hAnsiTheme="minorHAnsi"/>
          <w:noProof/>
          <w:sz w:val="22"/>
          <w:szCs w:val="22"/>
        </w:rPr>
        <w:t xml:space="preserve">We hope this will allow us to suppress mature plants. </w:t>
      </w:r>
      <w:r w:rsidR="00C307E0">
        <w:rPr>
          <w:rFonts w:asciiTheme="minorHAnsi" w:hAnsiTheme="minorHAnsi"/>
          <w:noProof/>
          <w:sz w:val="22"/>
          <w:szCs w:val="22"/>
        </w:rPr>
        <w:t xml:space="preserve">In the future, OISC may want </w:t>
      </w:r>
      <w:r w:rsidR="00DA5546">
        <w:rPr>
          <w:rFonts w:asciiTheme="minorHAnsi" w:hAnsiTheme="minorHAnsi"/>
          <w:noProof/>
          <w:sz w:val="22"/>
          <w:szCs w:val="22"/>
        </w:rPr>
        <w:t>to investigate employing drones</w:t>
      </w:r>
      <w:r w:rsidR="00C307E0">
        <w:rPr>
          <w:rFonts w:asciiTheme="minorHAnsi" w:hAnsiTheme="minorHAnsi"/>
          <w:noProof/>
          <w:sz w:val="22"/>
          <w:szCs w:val="22"/>
        </w:rPr>
        <w:t xml:space="preserve"> as t</w:t>
      </w:r>
      <w:r w:rsidR="00FF0199">
        <w:rPr>
          <w:rFonts w:asciiTheme="minorHAnsi" w:hAnsiTheme="minorHAnsi"/>
          <w:noProof/>
          <w:sz w:val="22"/>
          <w:szCs w:val="22"/>
        </w:rPr>
        <w:t xml:space="preserve">he terrain and vegetation seem to be perfect conditions to </w:t>
      </w:r>
      <w:r w:rsidR="00C307E0">
        <w:rPr>
          <w:rFonts w:asciiTheme="minorHAnsi" w:hAnsiTheme="minorHAnsi"/>
          <w:noProof/>
          <w:sz w:val="22"/>
          <w:szCs w:val="22"/>
        </w:rPr>
        <w:t>use this emerging technology</w:t>
      </w:r>
      <w:r w:rsidR="00FF0199">
        <w:rPr>
          <w:rFonts w:asciiTheme="minorHAnsi" w:hAnsiTheme="minorHAnsi"/>
          <w:noProof/>
          <w:sz w:val="22"/>
          <w:szCs w:val="22"/>
        </w:rPr>
        <w:t xml:space="preserve">. Seed bank longevity trials should also be conducted so we can estimate an eradication timeline. </w:t>
      </w:r>
    </w:p>
    <w:p w:rsidR="00822ABC" w:rsidRPr="00C424BF" w:rsidRDefault="00822ABC" w:rsidP="00210583">
      <w:pPr>
        <w:spacing w:before="240"/>
        <w:rPr>
          <w:rFonts w:asciiTheme="minorHAnsi" w:hAnsiTheme="minorHAnsi"/>
          <w:noProof/>
          <w:sz w:val="22"/>
          <w:szCs w:val="22"/>
        </w:rPr>
      </w:pPr>
    </w:p>
    <w:sectPr w:rsidR="00822ABC" w:rsidRPr="00C424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5A55"/>
    <w:multiLevelType w:val="hybridMultilevel"/>
    <w:tmpl w:val="68D41222"/>
    <w:lvl w:ilvl="0" w:tplc="04E04B26">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3D"/>
    <w:rsid w:val="00001F6C"/>
    <w:rsid w:val="000020CE"/>
    <w:rsid w:val="00012858"/>
    <w:rsid w:val="00016DE2"/>
    <w:rsid w:val="00022211"/>
    <w:rsid w:val="0002333D"/>
    <w:rsid w:val="00024BF0"/>
    <w:rsid w:val="00026889"/>
    <w:rsid w:val="000421A1"/>
    <w:rsid w:val="000457B4"/>
    <w:rsid w:val="00050840"/>
    <w:rsid w:val="00053706"/>
    <w:rsid w:val="000653EF"/>
    <w:rsid w:val="00073FA7"/>
    <w:rsid w:val="00081E35"/>
    <w:rsid w:val="00087FF9"/>
    <w:rsid w:val="000A68DA"/>
    <w:rsid w:val="000B0F09"/>
    <w:rsid w:val="000B2202"/>
    <w:rsid w:val="000B32AE"/>
    <w:rsid w:val="000B3A52"/>
    <w:rsid w:val="000C0123"/>
    <w:rsid w:val="000C0981"/>
    <w:rsid w:val="000D037B"/>
    <w:rsid w:val="000D0B26"/>
    <w:rsid w:val="000D25B1"/>
    <w:rsid w:val="000E1539"/>
    <w:rsid w:val="000E43C1"/>
    <w:rsid w:val="000E66AA"/>
    <w:rsid w:val="000F02B0"/>
    <w:rsid w:val="000F78AA"/>
    <w:rsid w:val="00104695"/>
    <w:rsid w:val="00107240"/>
    <w:rsid w:val="001146C0"/>
    <w:rsid w:val="00116348"/>
    <w:rsid w:val="00121910"/>
    <w:rsid w:val="00123E59"/>
    <w:rsid w:val="00126376"/>
    <w:rsid w:val="0014046F"/>
    <w:rsid w:val="00144217"/>
    <w:rsid w:val="00153AAA"/>
    <w:rsid w:val="001565A9"/>
    <w:rsid w:val="00161CBE"/>
    <w:rsid w:val="00174EDA"/>
    <w:rsid w:val="00180A55"/>
    <w:rsid w:val="00182DD7"/>
    <w:rsid w:val="00184226"/>
    <w:rsid w:val="0018508E"/>
    <w:rsid w:val="001918DF"/>
    <w:rsid w:val="00192137"/>
    <w:rsid w:val="001971B7"/>
    <w:rsid w:val="001B4EBD"/>
    <w:rsid w:val="001B5785"/>
    <w:rsid w:val="001C5792"/>
    <w:rsid w:val="001D4A1F"/>
    <w:rsid w:val="001D5222"/>
    <w:rsid w:val="001D795C"/>
    <w:rsid w:val="001E64AB"/>
    <w:rsid w:val="001F7D53"/>
    <w:rsid w:val="00200816"/>
    <w:rsid w:val="00201118"/>
    <w:rsid w:val="002074D0"/>
    <w:rsid w:val="00210583"/>
    <w:rsid w:val="0023649F"/>
    <w:rsid w:val="00242D9D"/>
    <w:rsid w:val="002557A0"/>
    <w:rsid w:val="00272454"/>
    <w:rsid w:val="00281420"/>
    <w:rsid w:val="00296007"/>
    <w:rsid w:val="00297915"/>
    <w:rsid w:val="002A315B"/>
    <w:rsid w:val="002A3FC4"/>
    <w:rsid w:val="002B7A2A"/>
    <w:rsid w:val="002C2B9C"/>
    <w:rsid w:val="002C49BB"/>
    <w:rsid w:val="002D0651"/>
    <w:rsid w:val="002D1D66"/>
    <w:rsid w:val="002E7510"/>
    <w:rsid w:val="002F0027"/>
    <w:rsid w:val="002F72A0"/>
    <w:rsid w:val="00317549"/>
    <w:rsid w:val="003202B2"/>
    <w:rsid w:val="00321A47"/>
    <w:rsid w:val="00344EBA"/>
    <w:rsid w:val="00350FBC"/>
    <w:rsid w:val="003553A2"/>
    <w:rsid w:val="0036243A"/>
    <w:rsid w:val="003635C7"/>
    <w:rsid w:val="003709B5"/>
    <w:rsid w:val="00372CF7"/>
    <w:rsid w:val="003747BE"/>
    <w:rsid w:val="00374A23"/>
    <w:rsid w:val="00377C1C"/>
    <w:rsid w:val="003873C5"/>
    <w:rsid w:val="00394CFD"/>
    <w:rsid w:val="003A6856"/>
    <w:rsid w:val="003A6E50"/>
    <w:rsid w:val="003A7014"/>
    <w:rsid w:val="003C17F1"/>
    <w:rsid w:val="003E04B7"/>
    <w:rsid w:val="003E302A"/>
    <w:rsid w:val="003F2216"/>
    <w:rsid w:val="003F29AF"/>
    <w:rsid w:val="003F6E01"/>
    <w:rsid w:val="00402CAE"/>
    <w:rsid w:val="004179D2"/>
    <w:rsid w:val="004265C1"/>
    <w:rsid w:val="00437550"/>
    <w:rsid w:val="00446132"/>
    <w:rsid w:val="004466A0"/>
    <w:rsid w:val="004501AD"/>
    <w:rsid w:val="00462896"/>
    <w:rsid w:val="00463D84"/>
    <w:rsid w:val="00465AE9"/>
    <w:rsid w:val="00474F8D"/>
    <w:rsid w:val="004770B8"/>
    <w:rsid w:val="00485CB2"/>
    <w:rsid w:val="00493576"/>
    <w:rsid w:val="004B2E6E"/>
    <w:rsid w:val="004C1F9D"/>
    <w:rsid w:val="004C66A1"/>
    <w:rsid w:val="004D0E95"/>
    <w:rsid w:val="004D7EBF"/>
    <w:rsid w:val="004E4528"/>
    <w:rsid w:val="004E4A0F"/>
    <w:rsid w:val="004F2F5B"/>
    <w:rsid w:val="004F368B"/>
    <w:rsid w:val="004F3DB6"/>
    <w:rsid w:val="004F418C"/>
    <w:rsid w:val="004F5349"/>
    <w:rsid w:val="004F667A"/>
    <w:rsid w:val="005133CA"/>
    <w:rsid w:val="005135C0"/>
    <w:rsid w:val="0052065C"/>
    <w:rsid w:val="005215C6"/>
    <w:rsid w:val="005217CE"/>
    <w:rsid w:val="00523AF2"/>
    <w:rsid w:val="00527805"/>
    <w:rsid w:val="0053352D"/>
    <w:rsid w:val="005368E6"/>
    <w:rsid w:val="00547D62"/>
    <w:rsid w:val="00554433"/>
    <w:rsid w:val="00557CFB"/>
    <w:rsid w:val="00561A07"/>
    <w:rsid w:val="00571BB6"/>
    <w:rsid w:val="00571FA3"/>
    <w:rsid w:val="00572B51"/>
    <w:rsid w:val="0057515D"/>
    <w:rsid w:val="005838A4"/>
    <w:rsid w:val="00587CF4"/>
    <w:rsid w:val="005952FA"/>
    <w:rsid w:val="005A1F81"/>
    <w:rsid w:val="005A239F"/>
    <w:rsid w:val="005B4C80"/>
    <w:rsid w:val="005C1430"/>
    <w:rsid w:val="005C74DE"/>
    <w:rsid w:val="005D5EE7"/>
    <w:rsid w:val="005D7A35"/>
    <w:rsid w:val="005E1F47"/>
    <w:rsid w:val="005E2825"/>
    <w:rsid w:val="005E5589"/>
    <w:rsid w:val="005F1F82"/>
    <w:rsid w:val="00600DD1"/>
    <w:rsid w:val="00602CEA"/>
    <w:rsid w:val="00603DD1"/>
    <w:rsid w:val="0060581F"/>
    <w:rsid w:val="0060777A"/>
    <w:rsid w:val="00610C3F"/>
    <w:rsid w:val="006127BE"/>
    <w:rsid w:val="006132B8"/>
    <w:rsid w:val="006151E9"/>
    <w:rsid w:val="00617AC1"/>
    <w:rsid w:val="0062227B"/>
    <w:rsid w:val="006262B1"/>
    <w:rsid w:val="00630759"/>
    <w:rsid w:val="006326CC"/>
    <w:rsid w:val="00640D19"/>
    <w:rsid w:val="006441AE"/>
    <w:rsid w:val="006506D6"/>
    <w:rsid w:val="006510D2"/>
    <w:rsid w:val="006632A8"/>
    <w:rsid w:val="00674D87"/>
    <w:rsid w:val="00680FBC"/>
    <w:rsid w:val="00685C6E"/>
    <w:rsid w:val="00690768"/>
    <w:rsid w:val="00690B80"/>
    <w:rsid w:val="00691E26"/>
    <w:rsid w:val="00692ABE"/>
    <w:rsid w:val="006A09F5"/>
    <w:rsid w:val="006A3A81"/>
    <w:rsid w:val="006A4F70"/>
    <w:rsid w:val="006B1CA5"/>
    <w:rsid w:val="006B7B7E"/>
    <w:rsid w:val="006C3FCC"/>
    <w:rsid w:val="006C74B8"/>
    <w:rsid w:val="006C7E33"/>
    <w:rsid w:val="00700B90"/>
    <w:rsid w:val="00707A63"/>
    <w:rsid w:val="00710B75"/>
    <w:rsid w:val="00712830"/>
    <w:rsid w:val="00733B87"/>
    <w:rsid w:val="00740A8A"/>
    <w:rsid w:val="0074380F"/>
    <w:rsid w:val="00754188"/>
    <w:rsid w:val="00757A9E"/>
    <w:rsid w:val="00760EF3"/>
    <w:rsid w:val="00772A39"/>
    <w:rsid w:val="00773C76"/>
    <w:rsid w:val="00777B47"/>
    <w:rsid w:val="007838EC"/>
    <w:rsid w:val="00792E0E"/>
    <w:rsid w:val="007933DE"/>
    <w:rsid w:val="007B27D0"/>
    <w:rsid w:val="007B7303"/>
    <w:rsid w:val="007C2CA6"/>
    <w:rsid w:val="007C3ACF"/>
    <w:rsid w:val="007D7041"/>
    <w:rsid w:val="007E3AA7"/>
    <w:rsid w:val="007E7D74"/>
    <w:rsid w:val="007F30D2"/>
    <w:rsid w:val="007F3607"/>
    <w:rsid w:val="007F72B2"/>
    <w:rsid w:val="008003E0"/>
    <w:rsid w:val="00800C52"/>
    <w:rsid w:val="00801DE7"/>
    <w:rsid w:val="0080588A"/>
    <w:rsid w:val="00814C69"/>
    <w:rsid w:val="008167CF"/>
    <w:rsid w:val="00822ABC"/>
    <w:rsid w:val="00825BD2"/>
    <w:rsid w:val="00834B73"/>
    <w:rsid w:val="0083559C"/>
    <w:rsid w:val="00835752"/>
    <w:rsid w:val="0084304D"/>
    <w:rsid w:val="00844E12"/>
    <w:rsid w:val="008550D7"/>
    <w:rsid w:val="00857647"/>
    <w:rsid w:val="00857AD7"/>
    <w:rsid w:val="008762FD"/>
    <w:rsid w:val="008878A1"/>
    <w:rsid w:val="0088790A"/>
    <w:rsid w:val="00887FAB"/>
    <w:rsid w:val="00890F81"/>
    <w:rsid w:val="008934AB"/>
    <w:rsid w:val="008A5938"/>
    <w:rsid w:val="008B0CEC"/>
    <w:rsid w:val="008C1AB5"/>
    <w:rsid w:val="008C54BB"/>
    <w:rsid w:val="008D296F"/>
    <w:rsid w:val="008D4091"/>
    <w:rsid w:val="008D4BBF"/>
    <w:rsid w:val="008E109F"/>
    <w:rsid w:val="008E4F8C"/>
    <w:rsid w:val="008E6211"/>
    <w:rsid w:val="009040D2"/>
    <w:rsid w:val="009341D7"/>
    <w:rsid w:val="00941FE6"/>
    <w:rsid w:val="00947535"/>
    <w:rsid w:val="00947590"/>
    <w:rsid w:val="00950487"/>
    <w:rsid w:val="009568B7"/>
    <w:rsid w:val="0095766B"/>
    <w:rsid w:val="00964D47"/>
    <w:rsid w:val="00971586"/>
    <w:rsid w:val="00971CB6"/>
    <w:rsid w:val="0098614C"/>
    <w:rsid w:val="0099180E"/>
    <w:rsid w:val="009A07B4"/>
    <w:rsid w:val="009A2E63"/>
    <w:rsid w:val="009C7971"/>
    <w:rsid w:val="009E3BE3"/>
    <w:rsid w:val="009E541E"/>
    <w:rsid w:val="009F5A9F"/>
    <w:rsid w:val="00A01C5F"/>
    <w:rsid w:val="00A01F53"/>
    <w:rsid w:val="00A035EC"/>
    <w:rsid w:val="00A07422"/>
    <w:rsid w:val="00A0773C"/>
    <w:rsid w:val="00A20381"/>
    <w:rsid w:val="00A21F9E"/>
    <w:rsid w:val="00A42855"/>
    <w:rsid w:val="00A446BE"/>
    <w:rsid w:val="00A7222C"/>
    <w:rsid w:val="00A77BF6"/>
    <w:rsid w:val="00A81684"/>
    <w:rsid w:val="00A84E18"/>
    <w:rsid w:val="00A91354"/>
    <w:rsid w:val="00AB7B24"/>
    <w:rsid w:val="00AD51BC"/>
    <w:rsid w:val="00AE4001"/>
    <w:rsid w:val="00AE4670"/>
    <w:rsid w:val="00AF7148"/>
    <w:rsid w:val="00AF7D5A"/>
    <w:rsid w:val="00B0591B"/>
    <w:rsid w:val="00B069BD"/>
    <w:rsid w:val="00B06B47"/>
    <w:rsid w:val="00B10F78"/>
    <w:rsid w:val="00B151CB"/>
    <w:rsid w:val="00B22BB5"/>
    <w:rsid w:val="00B2484A"/>
    <w:rsid w:val="00B26F3C"/>
    <w:rsid w:val="00B33531"/>
    <w:rsid w:val="00B35CAC"/>
    <w:rsid w:val="00B407A6"/>
    <w:rsid w:val="00B4514C"/>
    <w:rsid w:val="00B46C46"/>
    <w:rsid w:val="00B57489"/>
    <w:rsid w:val="00B647E2"/>
    <w:rsid w:val="00B6567C"/>
    <w:rsid w:val="00B6760F"/>
    <w:rsid w:val="00B73BD5"/>
    <w:rsid w:val="00B745CE"/>
    <w:rsid w:val="00B81603"/>
    <w:rsid w:val="00B85E4C"/>
    <w:rsid w:val="00B905A2"/>
    <w:rsid w:val="00B9223B"/>
    <w:rsid w:val="00BB2720"/>
    <w:rsid w:val="00BB414D"/>
    <w:rsid w:val="00BC028F"/>
    <w:rsid w:val="00BC22EB"/>
    <w:rsid w:val="00BC6914"/>
    <w:rsid w:val="00BC6F32"/>
    <w:rsid w:val="00BD6A59"/>
    <w:rsid w:val="00BE16F2"/>
    <w:rsid w:val="00BE3FD2"/>
    <w:rsid w:val="00BF2C09"/>
    <w:rsid w:val="00BF3437"/>
    <w:rsid w:val="00BF7252"/>
    <w:rsid w:val="00BF755A"/>
    <w:rsid w:val="00C13AA9"/>
    <w:rsid w:val="00C22450"/>
    <w:rsid w:val="00C25955"/>
    <w:rsid w:val="00C307E0"/>
    <w:rsid w:val="00C30A7A"/>
    <w:rsid w:val="00C3364A"/>
    <w:rsid w:val="00C4112F"/>
    <w:rsid w:val="00C415C3"/>
    <w:rsid w:val="00C424BF"/>
    <w:rsid w:val="00C74D86"/>
    <w:rsid w:val="00C95111"/>
    <w:rsid w:val="00CA1E63"/>
    <w:rsid w:val="00CB01EE"/>
    <w:rsid w:val="00CB062C"/>
    <w:rsid w:val="00CB0CFB"/>
    <w:rsid w:val="00CC0EC4"/>
    <w:rsid w:val="00CC6324"/>
    <w:rsid w:val="00CD0426"/>
    <w:rsid w:val="00CD2906"/>
    <w:rsid w:val="00CD2D78"/>
    <w:rsid w:val="00CD77FA"/>
    <w:rsid w:val="00CE2410"/>
    <w:rsid w:val="00CE2B24"/>
    <w:rsid w:val="00CF01EA"/>
    <w:rsid w:val="00D0274B"/>
    <w:rsid w:val="00D05112"/>
    <w:rsid w:val="00D062E0"/>
    <w:rsid w:val="00D11AD8"/>
    <w:rsid w:val="00D17B3E"/>
    <w:rsid w:val="00D17BD4"/>
    <w:rsid w:val="00D21ABA"/>
    <w:rsid w:val="00D24579"/>
    <w:rsid w:val="00D2659A"/>
    <w:rsid w:val="00D3069B"/>
    <w:rsid w:val="00D404E9"/>
    <w:rsid w:val="00D45455"/>
    <w:rsid w:val="00D46206"/>
    <w:rsid w:val="00D5071D"/>
    <w:rsid w:val="00D52464"/>
    <w:rsid w:val="00D534C5"/>
    <w:rsid w:val="00D61E2C"/>
    <w:rsid w:val="00D6210F"/>
    <w:rsid w:val="00D63C60"/>
    <w:rsid w:val="00D64F81"/>
    <w:rsid w:val="00D66972"/>
    <w:rsid w:val="00D67E24"/>
    <w:rsid w:val="00D71FF4"/>
    <w:rsid w:val="00D7536B"/>
    <w:rsid w:val="00D83FAE"/>
    <w:rsid w:val="00D92BFD"/>
    <w:rsid w:val="00D943B7"/>
    <w:rsid w:val="00D952F4"/>
    <w:rsid w:val="00DA5546"/>
    <w:rsid w:val="00DB6FCE"/>
    <w:rsid w:val="00DB7310"/>
    <w:rsid w:val="00DC01C2"/>
    <w:rsid w:val="00DC4931"/>
    <w:rsid w:val="00DD32B8"/>
    <w:rsid w:val="00DD4083"/>
    <w:rsid w:val="00DD48D9"/>
    <w:rsid w:val="00DE3289"/>
    <w:rsid w:val="00DF2FA2"/>
    <w:rsid w:val="00DF654C"/>
    <w:rsid w:val="00E06E04"/>
    <w:rsid w:val="00E104E2"/>
    <w:rsid w:val="00E11938"/>
    <w:rsid w:val="00E15D6F"/>
    <w:rsid w:val="00E26A5D"/>
    <w:rsid w:val="00E35087"/>
    <w:rsid w:val="00E35A0F"/>
    <w:rsid w:val="00E36273"/>
    <w:rsid w:val="00E50A5A"/>
    <w:rsid w:val="00E53425"/>
    <w:rsid w:val="00E53696"/>
    <w:rsid w:val="00E5698C"/>
    <w:rsid w:val="00E64217"/>
    <w:rsid w:val="00E7142D"/>
    <w:rsid w:val="00E75C9F"/>
    <w:rsid w:val="00E77BDC"/>
    <w:rsid w:val="00E80724"/>
    <w:rsid w:val="00E81FDE"/>
    <w:rsid w:val="00E84531"/>
    <w:rsid w:val="00E954A3"/>
    <w:rsid w:val="00EA5A09"/>
    <w:rsid w:val="00EA5A99"/>
    <w:rsid w:val="00EB142F"/>
    <w:rsid w:val="00EB1C8D"/>
    <w:rsid w:val="00EE0E7D"/>
    <w:rsid w:val="00EE4794"/>
    <w:rsid w:val="00EF4FA9"/>
    <w:rsid w:val="00EF7B05"/>
    <w:rsid w:val="00F0030C"/>
    <w:rsid w:val="00F063CA"/>
    <w:rsid w:val="00F16A39"/>
    <w:rsid w:val="00F25CDC"/>
    <w:rsid w:val="00F30076"/>
    <w:rsid w:val="00F3518C"/>
    <w:rsid w:val="00F44C6C"/>
    <w:rsid w:val="00F508BD"/>
    <w:rsid w:val="00F50AB4"/>
    <w:rsid w:val="00F513AF"/>
    <w:rsid w:val="00F53FE7"/>
    <w:rsid w:val="00F544EB"/>
    <w:rsid w:val="00F67371"/>
    <w:rsid w:val="00F6782C"/>
    <w:rsid w:val="00F73BD9"/>
    <w:rsid w:val="00F741F6"/>
    <w:rsid w:val="00F75F12"/>
    <w:rsid w:val="00F75F42"/>
    <w:rsid w:val="00F76106"/>
    <w:rsid w:val="00F8106C"/>
    <w:rsid w:val="00F82127"/>
    <w:rsid w:val="00F9350E"/>
    <w:rsid w:val="00FA0A51"/>
    <w:rsid w:val="00FA41C2"/>
    <w:rsid w:val="00FC0398"/>
    <w:rsid w:val="00FC4807"/>
    <w:rsid w:val="00FC54BA"/>
    <w:rsid w:val="00FC6781"/>
    <w:rsid w:val="00FF0199"/>
    <w:rsid w:val="00FF053C"/>
    <w:rsid w:val="00FF771A"/>
    <w:rsid w:val="00FF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B034C-9320-43C5-A198-DDED66A8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07"/>
    <w:pPr>
      <w:spacing w:after="0" w:line="240" w:lineRule="auto"/>
    </w:pPr>
    <w:rPr>
      <w:rFonts w:ascii="Times New Roman" w:hAnsi="Times New Roman" w:cs="Arial"/>
      <w:sz w:val="24"/>
      <w:szCs w:val="24"/>
    </w:rPr>
  </w:style>
  <w:style w:type="paragraph" w:styleId="Heading1">
    <w:name w:val="heading 1"/>
    <w:basedOn w:val="Normal"/>
    <w:next w:val="Normal"/>
    <w:link w:val="Heading1Char"/>
    <w:qFormat/>
    <w:rsid w:val="00104695"/>
    <w:pPr>
      <w:keepNext/>
      <w:spacing w:before="240" w:after="60"/>
      <w:outlineLvl w:val="0"/>
    </w:pPr>
    <w:rPr>
      <w:rFonts w:asciiTheme="minorHAnsi" w:eastAsiaTheme="majorEastAsia" w:hAnsiTheme="minorHAnsi" w:cstheme="majorBidi"/>
      <w:b/>
      <w:bCs/>
      <w:i/>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695"/>
    <w:rPr>
      <w:rFonts w:eastAsiaTheme="majorEastAsia" w:cstheme="majorBidi"/>
      <w:b/>
      <w:bCs/>
      <w:i/>
      <w:kern w:val="32"/>
      <w:sz w:val="24"/>
      <w:szCs w:val="32"/>
    </w:rPr>
  </w:style>
  <w:style w:type="paragraph" w:styleId="BalloonText">
    <w:name w:val="Balloon Text"/>
    <w:basedOn w:val="Normal"/>
    <w:link w:val="BalloonTextChar"/>
    <w:uiPriority w:val="99"/>
    <w:semiHidden/>
    <w:unhideWhenUsed/>
    <w:rsid w:val="00F54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EB"/>
    <w:rPr>
      <w:rFonts w:ascii="Segoe UI" w:hAnsi="Segoe UI" w:cs="Segoe UI"/>
      <w:sz w:val="18"/>
      <w:szCs w:val="18"/>
    </w:rPr>
  </w:style>
  <w:style w:type="table" w:styleId="TableGrid">
    <w:name w:val="Table Grid"/>
    <w:basedOn w:val="TableNormal"/>
    <w:uiPriority w:val="39"/>
    <w:rsid w:val="00BF2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6E01"/>
    <w:rPr>
      <w:color w:val="808080"/>
    </w:rPr>
  </w:style>
  <w:style w:type="table" w:styleId="PlainTable3">
    <w:name w:val="Plain Table 3"/>
    <w:basedOn w:val="TableNormal"/>
    <w:uiPriority w:val="43"/>
    <w:rsid w:val="00B922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922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B922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B9223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201118"/>
    <w:rPr>
      <w:color w:val="0563C1" w:themeColor="hyperlink"/>
      <w:u w:val="single"/>
    </w:rPr>
  </w:style>
  <w:style w:type="paragraph" w:styleId="NoSpacing">
    <w:name w:val="No Spacing"/>
    <w:uiPriority w:val="1"/>
    <w:qFormat/>
    <w:rsid w:val="0074380F"/>
    <w:pPr>
      <w:spacing w:after="0" w:line="240" w:lineRule="auto"/>
    </w:pPr>
    <w:rPr>
      <w:rFonts w:ascii="Times New Roman" w:hAnsi="Times New Roman" w:cs="Arial"/>
      <w:sz w:val="24"/>
      <w:szCs w:val="24"/>
    </w:rPr>
  </w:style>
  <w:style w:type="paragraph" w:customStyle="1" w:styleId="Normal12pt">
    <w:name w:val="Normal + 12pt."/>
    <w:basedOn w:val="Normal"/>
    <w:rsid w:val="00D46206"/>
    <w:pPr>
      <w:spacing w:after="200" w:line="276" w:lineRule="auto"/>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44EA0-F748-4179-B2B1-2E92070C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Neville</dc:creator>
  <cp:keywords/>
  <dc:description/>
  <cp:lastModifiedBy>Rachel Neville</cp:lastModifiedBy>
  <cp:revision>46</cp:revision>
  <cp:lastPrinted>2016-01-12T23:10:00Z</cp:lastPrinted>
  <dcterms:created xsi:type="dcterms:W3CDTF">2016-01-22T00:00:00Z</dcterms:created>
  <dcterms:modified xsi:type="dcterms:W3CDTF">2016-01-22T02:00:00Z</dcterms:modified>
</cp:coreProperties>
</file>